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eastAsia="Arial Unicode MS"/>
        </w:rPr>
        <w:drawing>
          <wp:inline xmlns:a="http://schemas.openxmlformats.org/drawingml/2006/main" xmlns:pic="http://schemas.openxmlformats.org/drawingml/2006/picture">
            <wp:extent cx="2377440" cy="5528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a-logo-lockup-approved-prio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5528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rPr>
          <w:rFonts w:eastAsia="Arial Unicode MS"/>
        </w:rPr>
        <w:t>NEXA 六个月执行计划</w:t>
      </w:r>
    </w:p>
    <w:p>
      <w:pPr>
        <w:pStyle w:val="Subtitle"/>
      </w:pPr>
      <w:r>
        <w:rPr>
          <w:rFonts w:eastAsia="Arial Unicode MS"/>
        </w:rPr>
        <w:t>WOC 公司运营手册与项目 SOP</w:t>
      </w:r>
    </w:p>
    <w:p>
      <w:r>
        <w:rPr>
          <w:rFonts w:eastAsia="Arial Unicode MS"/>
        </w:rPr>
        <w:t>组织设立  三店展厅  系统与硬件  战略合作  BC PNP  选品售后  供应链金融</w:t>
      </w:r>
    </w:p>
    <w:p/>
    <w:p>
      <w:r>
        <w:rPr>
          <w:rFonts w:eastAsia="Arial Unicode MS"/>
        </w:rPr>
        <w:t>六个月的目标是建立可运行的公司组织，让三家门店、真实设备、系统与客户服务形成可验证的交付流程，并完成合作和融资的阶段性落地。每项任务由岗位负责，人员姓名在正式任命时填写。</w:t>
      </w:r>
    </w:p>
    <w:p>
      <w:r>
        <w:rPr>
          <w:rFonts w:eastAsia="Arial Unicode MS"/>
        </w:rPr>
        <w:t>计划周期为 T0 启动日起六个运营月。T0、具体门店、预算与实际人员在启动会上批准；本册不以当前日期替代启动日期。M1至M6分别为启动后的第1至第6个运营月，每月结束进行阶段验收。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cantSplit/>
          <w:tblHeader/>
        </w:trPr>
        <w:tc>
          <w:tcPr>
            <w:tcW w:type="dxa" w:w="194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20"/>
              </w:rPr>
              <w:t>文控项</w:t>
            </w:r>
          </w:p>
        </w:tc>
        <w:tc>
          <w:tcPr>
            <w:tcW w:type="dxa" w:w="799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20"/>
              </w:rPr>
              <w:t>填写内容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文件编号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NEXA WOC 001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版本与编制日期</w:t>
            </w:r>
          </w:p>
        </w:tc>
        <w:tc>
          <w:tcPr>
            <w:tcW w:type="dxa" w:w="79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1.0   2026年10月5日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流程所有者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运营负责人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批准岗位</w:t>
            </w:r>
          </w:p>
        </w:tc>
        <w:tc>
          <w:tcPr>
            <w:tcW w:type="dxa" w:w="79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总经理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生效日期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待批准填写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评审周期</w:t>
            </w:r>
          </w:p>
        </w:tc>
        <w:tc>
          <w:tcPr>
            <w:tcW w:type="dxa" w:w="79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月度复核 关键流程变化时修订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状态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提交G1批准后执行 数值目标为提案</w:t>
            </w:r>
          </w:p>
        </w:tc>
      </w:tr>
    </w:tbl>
    <w:p/>
    <w:p>
      <w:r>
        <w:rPr>
          <w:rFonts w:eastAsia="Arial Unicode MS"/>
        </w:rPr>
        <w:t>配套文件  六个月路线图.html  执行台账.xlsx  Codex实施任务书.md  execution-data.json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01 执行范围与当前基线</w:t>
      </w:r>
    </w:p>
    <w:p>
      <w:r>
        <w:rPr>
          <w:rFonts w:eastAsia="Arial Unicode MS"/>
        </w:rPr>
        <w:t>七条业务线由一个公司与运营基础工作包支撑。以共同的客户、设备、订单、安装工单和售后工单编号连接各部门，统一管理预算、版本和验收证据。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12"/>
        <w:gridCol w:w="3744"/>
        <w:gridCol w:w="4680"/>
      </w:tblGrid>
      <w:tr>
        <w:trPr>
          <w:cantSplit/>
          <w:tblHeader/>
        </w:trPr>
        <w:tc>
          <w:tcPr>
            <w:tcW w:type="dxa" w:w="151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74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当前判断</w:t>
            </w:r>
          </w:p>
        </w:tc>
        <w:tc>
          <w:tcPr>
            <w:tcW w:type="dxa" w:w="468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执行处理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已确认需求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七条业务线并行推进 三店展厅 岗位先于姓名</w:t>
            </w:r>
          </w:p>
        </w:tc>
        <w:tc>
          <w:tcPr>
            <w:tcW w:type="dxa" w:w="4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列入48项月度里程碑和12个SOP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现有数字资产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官网可访问；当前代码仅支持simulator或disabled</w:t>
            </w:r>
          </w:p>
        </w:tc>
        <w:tc>
          <w:tcPr>
            <w:tcW w:type="dxa" w:w="46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复用设计及可用工程；真实硬件另验收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产品资料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BroadLink目录提供方案与参数</w:t>
            </w:r>
          </w:p>
        </w:tc>
        <w:tc>
          <w:tcPr>
            <w:tcW w:type="dxa" w:w="4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按准确型号核验样品 接口 认证及加拿大供货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合作关系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贝乐 擎洲光电 冰火人明姐由业务需求提出</w:t>
            </w:r>
          </w:p>
        </w:tc>
        <w:tc>
          <w:tcPr>
            <w:tcW w:type="dxa" w:w="46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合作主体 授权 范围 合同和费用待确认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Meta Muse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存在官方产品介绍；用户所指产品及接口尚待确认</w:t>
            </w:r>
          </w:p>
        </w:tc>
        <w:tc>
          <w:tcPr>
            <w:tcW w:type="dxa" w:w="4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M1确认身份 区域 API与商用许可后决定接入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建议目标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三店验收 十户试点 五场景 24项KPI</w:t>
            </w:r>
          </w:p>
        </w:tc>
        <w:tc>
          <w:tcPr>
            <w:tcW w:type="dxa" w:w="46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G1批准 M3按样本和资源校准 保留变更记录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六个月完成条件</w:t>
      </w:r>
    </w:p>
    <w:p>
      <w:pPr>
        <w:pStyle w:val="ListBullet"/>
      </w:pPr>
      <w:r>
        <w:rPr>
          <w:rFonts w:eastAsia="Arial Unicode MS"/>
        </w:rPr>
        <w:t>公司主体、股权与授权、财务账户、岗位任命及预算具备运行条件。</w:t>
      </w:r>
    </w:p>
    <w:p>
      <w:pPr>
        <w:pStyle w:val="ListBullet"/>
      </w:pPr>
      <w:r>
        <w:rPr>
          <w:rFonts w:eastAsia="Arial Unicode MS"/>
        </w:rPr>
        <w:t>三店按工程、设备演示、人员和客户服务清单验收；若许可或场地受阻，逐店记录调整决策。</w:t>
      </w:r>
    </w:p>
    <w:p>
      <w:pPr>
        <w:pStyle w:val="ListBullet"/>
      </w:pPr>
      <w:r>
        <w:rPr>
          <w:rFonts w:eastAsia="Arial Unicode MS"/>
        </w:rPr>
        <w:t>选定硬件在真实设备上打通绑定、控制、状态与售后；语音接入有明确权限和实测结果。</w:t>
      </w:r>
    </w:p>
    <w:p>
      <w:pPr>
        <w:pStyle w:val="ListBullet"/>
      </w:pPr>
      <w:r>
        <w:rPr>
          <w:rFonts w:eastAsia="Arial Unicode MS"/>
        </w:rPr>
        <w:t>擎洲合作完成约定阶段；BC PNP完成专业资格及材料路径；融资完成合同允许的阶段或完整周期。</w:t>
      </w:r>
    </w:p>
    <w:p>
      <w:pPr>
        <w:pStyle w:val="ListBullet"/>
      </w:pPr>
      <w:r>
        <w:rPr>
          <w:rFonts w:eastAsia="Arial Unicode MS"/>
        </w:rPr>
        <w:t>发布WOC有效版本、台账和Codex任务书，交付有证据，外部审批的等待有责任岗位和替代安排。</w:t>
      </w:r>
    </w:p>
    <w:p>
      <w:pPr>
        <w:pStyle w:val="Heading2"/>
      </w:pPr>
      <w:r>
        <w:rPr>
          <w:rFonts w:eastAsia="Arial Unicode MS"/>
        </w:rPr>
        <w:t>不确定项的处理</w:t>
      </w:r>
    </w:p>
    <w:p>
      <w:r>
        <w:rPr>
          <w:rFonts w:eastAsia="Arial Unicode MS"/>
        </w:rPr>
        <w:t>没有真实完成证据的字段保持为空或待确认。未获得监管、资金方、合作方决定的事项用条件性里程碑管理。公开网站、品牌概念图和厂家目录不能作为生产能力或合同履约证明。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01A 公司设立与运营开通清单</w:t>
      </w:r>
    </w:p>
    <w:p>
      <w:r>
        <w:rPr>
          <w:rFonts w:eastAsia="Arial Unicode MS"/>
        </w:rPr>
        <w:t>以W0-M1为设立验收包。新设公司或沿用既有主体由总经理、法务和会计先确定；三店、合作协议、采购及资金业务使用清晰一致的签约主体。[S08]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4248"/>
        <w:gridCol w:w="3456"/>
      </w:tblGrid>
      <w:tr>
        <w:trPr>
          <w:cantSplit/>
          <w:tblHeader/>
        </w:trPr>
        <w:tc>
          <w:tcPr>
            <w:tcW w:type="dxa" w:w="223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时段与任务</w:t>
            </w:r>
          </w:p>
        </w:tc>
        <w:tc>
          <w:tcPr>
            <w:tcW w:type="dxa" w:w="42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执行岗位与交接</w:t>
            </w:r>
          </w:p>
        </w:tc>
        <w:tc>
          <w:tcPr>
            <w:tcW w:type="dxa" w:w="345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完成证据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D1-D3 主体与地区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CEO提出业务/股东/注册地区；LEGAL复核结构与适用登记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结构方案、既有主体核验或新设决定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D1-D7 股权与治理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CEO组织股东确认股权、董事、出资与签约权限；LEGAL整理</w:t>
            </w:r>
          </w:p>
        </w:tc>
        <w:tc>
          <w:tcPr>
            <w:tcW w:type="dxa" w:w="34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章程、股权表、授权及出资义务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注册及名称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LEGAL准备适用注册材料；有权岗位提交和收取文件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注册证书、登记编号和公司档案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账户与签字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FIN准备银行材料；有权岗位完成开户及操作授权</w:t>
            </w:r>
          </w:p>
        </w:tc>
        <w:tc>
          <w:tcPr>
            <w:tcW w:type="dxa" w:w="34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账户确认、签字权和付款复核规则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适用税务与雇主登记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FIN/会计判断税务、工资与进口业务所需登记并办理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适用性清单、回执和申报期限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核算与现金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FIN建立会计科目、W0-W7成本中心、S1-S3店码及13周现金流</w:t>
            </w:r>
          </w:p>
        </w:tc>
        <w:tc>
          <w:tcPr>
            <w:tcW w:type="dxa" w:w="34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六个月预算、最低现金红线和月结日历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租赁许可与保险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STORE调查逐店适用许可；LEGAL核对租赁及保险责任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逐店开工条件、许可计划和保险证明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合同及数据规则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BD/LEGAL建立供货、服务、IP、数据和客户条款模板</w:t>
            </w:r>
          </w:p>
        </w:tc>
        <w:tc>
          <w:tcPr>
            <w:tcW w:type="dxa" w:w="34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批准版本、义务台账和资料访问范围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 岗位与系统开通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COO/HR任命负责人及备岗；TECH按批准角色发放访问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岗位合同、工时、培训和权限记录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G1 设立验收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PMO汇总；QA复核；CEO决定下一阶段范围</w:t>
            </w:r>
          </w:p>
        </w:tc>
        <w:tc>
          <w:tcPr>
            <w:tcW w:type="dxa" w:w="34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完整证据包、缺项责任/期限及批准记录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延期与替代处理</w:t>
      </w:r>
    </w:p>
    <w:p>
      <w:r>
        <w:rPr>
          <w:rFonts w:eastAsia="Arial Unicode MS"/>
        </w:rPr>
        <w:t>账户、登记或许可未完成时记录明确缺项、提供材料的岗位与新期限。公司基础不能只以注册路径批准代替实际开通。可继续设计与资料准备；关联签约、采购、雇佣或开业应满足各自适用条件。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02 公司组织与岗位设置</w:t>
      </w:r>
    </w:p>
    <w:p>
      <w:r>
        <w:rPr>
          <w:rFonts w:eastAsia="Arial Unicode MS"/>
        </w:rPr>
        <w:t>董事会确定股权与治理；总经理负责战略、合同和预算。运营负责人统筹日常经营，PMO维护七线进度。产品、技术、工程、采购和质量各有职责，外部专业顾问承担适用的专业审查。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3744"/>
        <w:gridCol w:w="4248"/>
      </w:tblGrid>
      <w:tr>
        <w:trPr>
          <w:cantSplit/>
          <w:tblHeader/>
        </w:trPr>
        <w:tc>
          <w:tcPr>
            <w:tcW w:type="dxa" w:w="194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部门或职能</w:t>
            </w:r>
          </w:p>
        </w:tc>
        <w:tc>
          <w:tcPr>
            <w:tcW w:type="dxa" w:w="374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负责岗位</w:t>
            </w:r>
          </w:p>
        </w:tc>
        <w:tc>
          <w:tcPr>
            <w:tcW w:type="dxa" w:w="42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主要接口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战略与合作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总经理 战略合作负责人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贝乐 BroadLink 擎洲 加拿大专业服务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运营与PMO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运营负责人 PMO 人事行政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七线排期 资源 会议 培训与交接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产品与技术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产品 技术 设计 开发 IoT语音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Home OS 门店后台 设备云 语音与数据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门店与交付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门店工程负责人 三店店长 安装售后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施工 演示 客户安装 回访与工单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采购与供应链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采购负责人 中国接口岗位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冰火人明姐 样品 厂商 物流 库存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财务与风控</w:t>
            </w:r>
          </w:p>
        </w:tc>
        <w:tc>
          <w:tcPr>
            <w:tcW w:type="dxa" w:w="37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财务与供应链金融负责人</w:t>
            </w:r>
          </w:p>
        </w:tc>
        <w:tc>
          <w:tcPr>
            <w:tcW w:type="dxa" w:w="42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会计 资金方 付款 应收与现金流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质量与合规</w:t>
            </w:r>
          </w:p>
        </w:tc>
        <w:tc>
          <w:tcPr>
            <w:tcW w:type="dxa" w:w="37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QA 法务 PNP持牌顾问</w:t>
            </w:r>
          </w:p>
        </w:tc>
        <w:tc>
          <w:tcPr>
            <w:tcW w:type="dxa" w:w="42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独立验收 合同 隐私 产品合规与申报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任命顺序</w:t>
      </w:r>
    </w:p>
    <w:p>
      <w:r>
        <w:rPr>
          <w:rFonts w:eastAsia="Arial Unicode MS"/>
        </w:rPr>
        <w:t>M1先确定CEO、COO、PMO、财务、产品、技术、质量、门店工程、采购及合作接口岗位的责任人。M2按已批准范围补应用与后端、IoT语音、安装及服务容量；M3至M5逐店任命店长。法务、会计和持牌移民顾问可采用服务合同。</w:t>
      </w:r>
    </w:p>
    <w:p>
      <w:pPr>
        <w:pStyle w:val="Heading2"/>
      </w:pPr>
      <w:r>
        <w:rPr>
          <w:rFonts w:eastAsia="Arial Unicode MS"/>
        </w:rPr>
        <w:t>岗位与人数</w:t>
      </w:r>
    </w:p>
    <w:p>
      <w:r>
        <w:rPr>
          <w:rFonts w:eastAsia="Arial Unicode MS"/>
        </w:rPr>
        <w:t>本册列19类岗位，不代表必须招聘19人。店长按三店各设置一岗；开发、安装及店员数量由工作量和可用工时确定。兼岗须填姓名、每周工时及备岗。采购申请、验收和付款须保留独立复核。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cantSplit/>
          <w:tblHeader/>
        </w:trPr>
        <w:tc>
          <w:tcPr>
            <w:tcW w:type="dxa" w:w="194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任命字段</w:t>
            </w:r>
          </w:p>
        </w:tc>
        <w:tc>
          <w:tcPr>
            <w:tcW w:type="dxa" w:w="799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必须填写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人员信息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岗位 姓名 雇佣或外包 合同起止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容量</w:t>
            </w:r>
          </w:p>
        </w:tc>
        <w:tc>
          <w:tcPr>
            <w:tcW w:type="dxa" w:w="79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每周可用工时 已分配任务 备岗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授权</w:t>
            </w:r>
          </w:p>
        </w:tc>
        <w:tc>
          <w:tcPr>
            <w:tcW w:type="dxa" w:w="79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预算 合同 采购 验收 发布 数据访问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能力</w:t>
            </w:r>
          </w:p>
        </w:tc>
        <w:tc>
          <w:tcPr>
            <w:tcW w:type="dxa" w:w="79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培训或资格 演示/安装/专业审查考核</w:t>
            </w:r>
          </w:p>
        </w:tc>
      </w:tr>
    </w:tbl>
    <w:p/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03 管理与产品岗位职责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472"/>
        <w:gridCol w:w="2160"/>
      </w:tblGrid>
      <w:tr>
        <w:trPr>
          <w:cantSplit/>
          <w:tblHeader/>
        </w:trPr>
        <w:tc>
          <w:tcPr>
            <w:tcW w:type="dxa" w:w="230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岗位</w:t>
            </w:r>
          </w:p>
        </w:tc>
        <w:tc>
          <w:tcPr>
            <w:tcW w:type="dxa" w:w="54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职责与交付</w:t>
            </w:r>
          </w:p>
        </w:tc>
        <w:tc>
          <w:tcPr>
            <w:tcW w:type="dxa" w:w="216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直接汇报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公司设立 股权 战略 合同及预算批准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董事会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统筹七线 资源协调 交付与门店经营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项目管理负责人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任务基线 依赖 周会 风险 证据归档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财务与供应链金融负责人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现金流 税务 成本 融资及回款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战略合作负责人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贝乐 BroadLink 擎洲光电 合同与伙伴接口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产品负责人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需求 PRD 客户流程 SKU与功能范围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技术负责人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架构 API 硬件适配 安全 发布回滚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产品与品牌设计师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App 中控屏 展厅触点 设计系统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产品负责人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应用与后端工程师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账户 CRM 工单 设备命令与遥测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技术负责人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物联网与语音工程师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BroadLink接入 ASR AI工具 物理联调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技术负责人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质量与验收负责人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独立测试 门店和设备验收 不合格整改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负责人和验收人的区别</w:t>
      </w:r>
    </w:p>
    <w:p>
      <w:r>
        <w:rPr>
          <w:rFonts w:eastAsia="Arial Unicode MS"/>
        </w:rPr>
        <w:t>R负责执行与提交证据，A对交付和阶段决定负责。QA负责独立复核。每项任务只有一个A，参与评审的其他岗位记为C，需知情的岗位记为I。A不能仅凭口头报告关闭任务。</w:t>
      </w:r>
    </w:p>
    <w:p>
      <w:pPr>
        <w:pStyle w:val="Heading2"/>
      </w:pPr>
      <w:r>
        <w:rPr>
          <w:rFonts w:eastAsia="Arial Unicode MS"/>
        </w:rPr>
        <w:t>关键岗位共同要求</w:t>
      </w:r>
    </w:p>
    <w:p>
      <w:r>
        <w:rPr>
          <w:rFonts w:eastAsia="Arial Unicode MS"/>
        </w:rPr>
        <w:t>所有岗位每周更新任务状态、依赖、下一步和证据。阻塞必须说明具体条件、提供材料的岗位、约定日期和备选方案。对外承诺引用已批准的价格、范围、能力和协议版本。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04 门店供应链与专业岗位职责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472"/>
        <w:gridCol w:w="2160"/>
      </w:tblGrid>
      <w:tr>
        <w:trPr>
          <w:cantSplit/>
          <w:tblHeader/>
        </w:trPr>
        <w:tc>
          <w:tcPr>
            <w:tcW w:type="dxa" w:w="230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岗位</w:t>
            </w:r>
          </w:p>
        </w:tc>
        <w:tc>
          <w:tcPr>
            <w:tcW w:type="dxa" w:w="54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职责与交付</w:t>
            </w:r>
          </w:p>
        </w:tc>
        <w:tc>
          <w:tcPr>
            <w:tcW w:type="dxa" w:w="216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9"/>
              </w:rPr>
              <w:t>直接汇报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门店与工程负责人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三店勘察 设计 施工 预算与开业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店长 每店一岗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销售演示 CRM 排班 客户交付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门店与工程负责人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安装与售后技术负责人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现场安装 调试 工单 备件与RMA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采购与供应链负责人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选品 合规资料 采购 物流 库存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中国选品与售后接口岗位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对接冰火人明姐 样品 质检 远程诊断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采购与供应链负责人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加拿大法务与合规顾问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公司 合同 隐私 产品与融资法律审查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BC PNP持牌移民专业顾问</w:t>
            </w:r>
          </w:p>
        </w:tc>
        <w:tc>
          <w:tcPr>
            <w:tcW w:type="dxa" w:w="54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路径资格 商业计划 申报边界与证据</w:t>
            </w:r>
          </w:p>
        </w:tc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总经理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人事与行政岗位</w:t>
            </w:r>
          </w:p>
        </w:tc>
        <w:tc>
          <w:tcPr>
            <w:tcW w:type="dxa" w:w="54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岗位任命 招聘 培训 访问与离职交接</w:t>
            </w:r>
          </w:p>
        </w:tc>
        <w:tc>
          <w:tcPr>
            <w:tcW w:type="dxa" w:w="216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9"/>
              </w:rPr>
              <w:t>运营负责人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中国与加拿大服务分工</w:t>
      </w:r>
    </w:p>
    <w:p>
      <w:r>
        <w:rPr>
          <w:rFonts w:eastAsia="Arial Unicode MS"/>
        </w:rPr>
        <w:t>加拿大安装售后岗位承担客户现场响应、服务时段及客户沟通。中国接口岗位负责组织选品、远程技术支持、厂家升级和备件；不能让客户工单因时差无人负责。双方服务范围、数据权限、费用和RMA责任在M2签署。</w:t>
      </w:r>
    </w:p>
    <w:p>
      <w:pPr>
        <w:pStyle w:val="Heading2"/>
      </w:pPr>
      <w:r>
        <w:rPr>
          <w:rFonts w:eastAsia="Arial Unicode MS"/>
        </w:rPr>
        <w:t>专业岗位分工</w:t>
      </w:r>
    </w:p>
    <w:p>
      <w:r>
        <w:rPr>
          <w:rFonts w:eastAsia="Arial Unicode MS"/>
        </w:rPr>
        <w:t>移民专业顾问判断路径和申请适用性，法务审查公司、合同与融资，适用的电气及工程事项由当地合格专业人员确认。PMO管理这些工作的资料、进度与交付，不替代专业判断。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05 治理会议与审批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168"/>
        <w:gridCol w:w="4896"/>
      </w:tblGrid>
      <w:tr>
        <w:trPr>
          <w:cantSplit/>
          <w:tblHeader/>
        </w:trPr>
        <w:tc>
          <w:tcPr>
            <w:tcW w:type="dxa" w:w="18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会议</w:t>
            </w:r>
          </w:p>
        </w:tc>
        <w:tc>
          <w:tcPr>
            <w:tcW w:type="dxa" w:w="316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频率与主持</w:t>
            </w:r>
          </w:p>
        </w:tc>
        <w:tc>
          <w:tcPr>
            <w:tcW w:type="dxa" w:w="489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输入与决定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业务线站会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每周两次 R主持 15分钟</w:t>
            </w:r>
          </w:p>
        </w:tc>
        <w:tc>
          <w:tcPr>
            <w:tcW w:type="dxa" w:w="48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完成 下一步 阻塞；PMO更新依赖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七线周会</w:t>
            </w:r>
          </w:p>
        </w:tc>
        <w:tc>
          <w:tcPr>
            <w:tcW w:type="dxa" w:w="31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 COO主持 45分钟</w:t>
            </w:r>
          </w:p>
        </w:tc>
        <w:tc>
          <w:tcPr>
            <w:tcW w:type="dxa" w:w="48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资源与关键路径 风险 现金；只讨论需决定的事项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技术选品评审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 产品与技术主持</w:t>
            </w:r>
          </w:p>
        </w:tc>
        <w:tc>
          <w:tcPr>
            <w:tcW w:type="dxa" w:w="48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SKU 样品 API 场景 回执与故障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现金与采购会</w:t>
            </w:r>
          </w:p>
        </w:tc>
        <w:tc>
          <w:tcPr>
            <w:tcW w:type="dxa" w:w="31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 财务主持</w:t>
            </w:r>
          </w:p>
        </w:tc>
        <w:tc>
          <w:tcPr>
            <w:tcW w:type="dxa" w:w="48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13周现金流 PO 应收 融资和付款节点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阶段验收会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每月末 CEO主持</w:t>
            </w:r>
          </w:p>
        </w:tc>
        <w:tc>
          <w:tcPr>
            <w:tcW w:type="dxa" w:w="48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G1至G6证据 预算 次月范围和停止条件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运营质量复盘</w:t>
            </w:r>
          </w:p>
        </w:tc>
        <w:tc>
          <w:tcPr>
            <w:tcW w:type="dxa" w:w="31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每月 QA主持</w:t>
            </w:r>
          </w:p>
        </w:tc>
        <w:tc>
          <w:tcPr>
            <w:tcW w:type="dxa" w:w="48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缺陷 售后 供应商 数据质量与手册修订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1080"/>
        <w:gridCol w:w="2232"/>
        <w:gridCol w:w="4104"/>
      </w:tblGrid>
      <w:tr>
        <w:trPr>
          <w:cantSplit/>
          <w:tblHeader/>
        </w:trPr>
        <w:tc>
          <w:tcPr>
            <w:tcW w:type="dxa" w:w="252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事项</w:t>
            </w:r>
          </w:p>
        </w:tc>
        <w:tc>
          <w:tcPr>
            <w:tcW w:type="dxa" w:w="108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R</w:t>
            </w:r>
          </w:p>
        </w:tc>
        <w:tc>
          <w:tcPr>
            <w:tcW w:type="dxa" w:w="223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A</w:t>
            </w:r>
          </w:p>
        </w:tc>
        <w:tc>
          <w:tcPr>
            <w:tcW w:type="dxa" w:w="410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C与I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公司与股权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</w:t>
            </w:r>
          </w:p>
        </w:tc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董事会或有权股东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法务 财务；COO知情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三店工程与开业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STORE</w:t>
            </w:r>
          </w:p>
        </w:tc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</w:t>
            </w:r>
          </w:p>
        </w:tc>
        <w:tc>
          <w:tcPr>
            <w:tcW w:type="dxa" w:w="41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QA TECH FIN 店长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MVP范围与体验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PROD</w:t>
            </w:r>
          </w:p>
        </w:tc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TECH UX QA 门店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系统发布与设备接入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TECH</w:t>
            </w:r>
          </w:p>
        </w:tc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</w:t>
            </w:r>
          </w:p>
        </w:tc>
        <w:tc>
          <w:tcPr>
            <w:tcW w:type="dxa" w:w="41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PROD IOT QA LEGAL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合作协议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BD</w:t>
            </w:r>
          </w:p>
        </w:tc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LEGAL FIN SCM TECH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SKU采购与放行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SCM</w:t>
            </w:r>
          </w:p>
        </w:tc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</w:t>
            </w:r>
          </w:p>
        </w:tc>
        <w:tc>
          <w:tcPr>
            <w:tcW w:type="dxa" w:w="41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PROD QA FIN INSTALL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PNP阶段路径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PNP</w:t>
            </w:r>
          </w:p>
        </w:tc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LEGAL FIN HR PMO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融资及担保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</w:t>
            </w:r>
          </w:p>
        </w:tc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</w:t>
            </w:r>
          </w:p>
        </w:tc>
        <w:tc>
          <w:tcPr>
            <w:tcW w:type="dxa" w:w="41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LEGAL SCM 资金方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客户售后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INSTALL</w:t>
            </w:r>
          </w:p>
        </w:tc>
        <w:tc>
          <w:tcPr>
            <w:tcW w:type="dxa" w:w="22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</w:t>
            </w:r>
          </w:p>
        </w:tc>
        <w:tc>
          <w:tcPr>
            <w:tcW w:type="dxa" w:w="41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CN QA 店长</w:t>
            </w:r>
          </w:p>
        </w:tc>
      </w:tr>
      <w:tr>
        <w:trPr>
          <w:cantSplit/>
        </w:trPr>
        <w:tc>
          <w:tcPr>
            <w:tcW w:type="dxa" w:w="252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里程碑关口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PMO</w:t>
            </w:r>
          </w:p>
        </w:tc>
        <w:tc>
          <w:tcPr>
            <w:tcW w:type="dxa" w:w="223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</w:t>
            </w:r>
          </w:p>
        </w:tc>
        <w:tc>
          <w:tcPr>
            <w:tcW w:type="dxa" w:w="41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R提交 QA复核</w:t>
            </w:r>
          </w:p>
        </w:tc>
      </w:tr>
    </w:tbl>
    <w:p/>
    <w:p>
      <w:r>
        <w:rPr>
          <w:rFonts w:eastAsia="Arial Unicode MS"/>
        </w:rPr>
        <w:t>单项金额授权、签约限额和融资限额在G1填入权限矩阵。超过批准预算、涉及股权或担保的事项升级有权岗位。执行与验收存在冲突时增加独立复核，记录复核人。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06 六个月里程碑与阶段验收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3672"/>
        <w:gridCol w:w="4392"/>
      </w:tblGrid>
      <w:tr>
        <w:trPr>
          <w:cantSplit/>
          <w:tblHeader/>
        </w:trPr>
        <w:tc>
          <w:tcPr>
            <w:tcW w:type="dxa" w:w="18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6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20"/>
              </w:rPr>
              <w:t>主要结果</w:t>
            </w:r>
          </w:p>
        </w:tc>
        <w:tc>
          <w:tcPr>
            <w:tcW w:type="dxa" w:w="439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20"/>
              </w:rPr>
              <w:t>进入下一阶段的条件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M1 建立基线</w:t>
            </w:r>
          </w:p>
        </w:tc>
        <w:tc>
          <w:tcPr>
            <w:tcW w:type="dxa" w:w="36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主体 岗位 预算与合同清单齐备</w:t>
            </w:r>
          </w:p>
        </w:tc>
        <w:tc>
          <w:tcPr>
            <w:tcW w:type="dxa" w:w="43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G1 主体及岗位 基线 预算 合同与风险清单批准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M2 冻结设计</w:t>
            </w:r>
          </w:p>
        </w:tc>
        <w:tc>
          <w:tcPr>
            <w:tcW w:type="dxa" w:w="36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施工与技术路线具备启动条件</w:t>
            </w:r>
          </w:p>
        </w:tc>
        <w:tc>
          <w:tcPr>
            <w:tcW w:type="dxa" w:w="43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G2 设计 BOQ 接口 样品和适用合规通过后启动施工与开发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M3 首店试点</w:t>
            </w:r>
          </w:p>
        </w:tc>
        <w:tc>
          <w:tcPr>
            <w:tcW w:type="dxa" w:w="36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首店和实物联调形成完整交付</w:t>
            </w:r>
          </w:p>
        </w:tc>
        <w:tc>
          <w:tcPr>
            <w:tcW w:type="dxa" w:w="43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G3 首店 五场景 系统Beta 本地售后演练与真实回执通过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M4 受控交付</w:t>
            </w:r>
          </w:p>
        </w:tc>
        <w:tc>
          <w:tcPr>
            <w:tcW w:type="dxa" w:w="36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二店运营 客户试点与融资试单</w:t>
            </w:r>
          </w:p>
        </w:tc>
        <w:tc>
          <w:tcPr>
            <w:tcW w:type="dxa" w:w="43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G4 二店 十户建议试点 数据权限及恢复通过 融资仅在条件满足后执行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M5 三店复制</w:t>
            </w:r>
          </w:p>
        </w:tc>
        <w:tc>
          <w:tcPr>
            <w:tcW w:type="dxa" w:w="36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第三店验收 服务与数据统一</w:t>
            </w:r>
          </w:p>
        </w:tc>
        <w:tc>
          <w:tcPr>
            <w:tcW w:type="dxa" w:w="439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G5 三店统一版本 安装及备件流程 发布WOC修订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M6 经营验收</w:t>
            </w:r>
          </w:p>
        </w:tc>
        <w:tc>
          <w:tcPr>
            <w:tcW w:type="dxa" w:w="36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核验交付 现金流与下一周期</w:t>
            </w:r>
          </w:p>
        </w:tc>
        <w:tc>
          <w:tcPr>
            <w:tcW w:type="dxa" w:w="439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20"/>
              </w:rPr>
              <w:t>G6 核验三店 系统 硬件 合作 申报阶段与真实现金流 批准下期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执行原则</w:t>
      </w:r>
    </w:p>
    <w:p>
      <w:r>
        <w:rPr>
          <w:rFonts w:eastAsia="Arial Unicode MS"/>
        </w:rPr>
        <w:t>三店的勘察、设计及许可准备在M1至M2并行。首店先验证施工、演示、成本及客户服务；二店和三店随后使用通过验证的标准。合作、PNP及融资资料从M1同步开展，根据外部条件进入下一步。</w:t>
      </w:r>
    </w:p>
    <w:p>
      <w:pPr>
        <w:pStyle w:val="Heading2"/>
      </w:pPr>
      <w:r>
        <w:rPr>
          <w:rFonts w:eastAsia="Arial Unicode MS"/>
        </w:rPr>
        <w:t>验收与延期</w:t>
      </w:r>
    </w:p>
    <w:p>
      <w:r>
        <w:rPr>
          <w:rFonts w:eastAsia="Arial Unicode MS"/>
        </w:rPr>
        <w:t>验收包必须含交付版本、用例与样本、结果、证据地址、重大缺陷、验收人、日期和下一阶段决定。条件不足时写明继续准备、缩小范围、延期或停止；不能以修改计划日期掩盖原基线延期。</w:t>
      </w:r>
    </w:p>
    <w:p>
      <w:r>
        <w:rPr>
          <w:rFonts w:eastAsia="Arial Unicode MS"/>
        </w:rPr>
        <w:t>若场地许可、SKU合规、SDK授权、合作方决定或资金方批准未到位，则冻结依赖该条件的任务，并将可独立完成的设计、资料和测试继续推进。每月保留原计划和修订计划。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07 跨业务依赖与客户闭环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08"/>
        <w:gridCol w:w="1872"/>
        <w:gridCol w:w="5256"/>
      </w:tblGrid>
      <w:tr>
        <w:trPr>
          <w:cantSplit/>
          <w:tblHeader/>
        </w:trPr>
        <w:tc>
          <w:tcPr>
            <w:tcW w:type="dxa" w:w="280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依赖</w:t>
            </w:r>
          </w:p>
        </w:tc>
        <w:tc>
          <w:tcPr>
            <w:tcW w:type="dxa" w:w="18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供给工作包</w:t>
            </w:r>
          </w:p>
        </w:tc>
        <w:tc>
          <w:tcPr>
            <w:tcW w:type="dxa" w:w="525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接收工作包与交付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主体 预算 岗位 授权</w:t>
            </w:r>
          </w:p>
        </w:tc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W0</w:t>
            </w:r>
          </w:p>
        </w:tc>
        <w:tc>
          <w:tcPr>
            <w:tcW w:type="dxa" w:w="52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所有业务线合法签约 资源和支出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SKU 认证 样品 SDK</w:t>
            </w:r>
          </w:p>
        </w:tc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W3 W6</w:t>
            </w:r>
          </w:p>
        </w:tc>
        <w:tc>
          <w:tcPr>
            <w:tcW w:type="dxa" w:w="52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W1展厅设备 W2接入 W7真实采购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账户 设备 订单 工单数据</w:t>
            </w:r>
          </w:p>
        </w:tc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W2</w:t>
            </w:r>
          </w:p>
        </w:tc>
        <w:tc>
          <w:tcPr>
            <w:tcW w:type="dxa" w:w="52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W1销售 W3命令 W6服务 W7应收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首店现场验证模板</w:t>
            </w:r>
          </w:p>
        </w:tc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W1 W2 W3 W6</w:t>
            </w:r>
          </w:p>
        </w:tc>
        <w:tc>
          <w:tcPr>
            <w:tcW w:type="dxa" w:w="52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S2/S3复制 联合试点和持续服务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真实投资 就业 管理记录</w:t>
            </w:r>
          </w:p>
        </w:tc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W0 W1 W6 财务人事</w:t>
            </w:r>
          </w:p>
        </w:tc>
        <w:tc>
          <w:tcPr>
            <w:tcW w:type="dxa" w:w="52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W5材料审核及持续履约</w:t>
            </w:r>
          </w:p>
        </w:tc>
      </w:tr>
      <w:tr>
        <w:trPr>
          <w:cantSplit/>
        </w:trPr>
        <w:tc>
          <w:tcPr>
            <w:tcW w:type="dxa" w:w="280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真实订单 交货 验收 回款</w:t>
            </w:r>
          </w:p>
        </w:tc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W1 W4 W6</w:t>
            </w:r>
          </w:p>
        </w:tc>
        <w:tc>
          <w:tcPr>
            <w:tcW w:type="dxa" w:w="52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W7授信 交易对账和偿还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统一客户流程</w:t>
      </w:r>
    </w:p>
    <w:p>
      <w:r>
        <w:rPr>
          <w:rFonts w:eastAsia="Arial Unicode MS"/>
        </w:rPr>
        <w:t>获客与同意登记 → 需求与现场勘察 → 选型和报价 → 订单与付款条款 → 采购与预约 → 安装和绑定 → 实物与客户验收 → 回访售后 → 续购或维护。每次交接更新下一岗位、期限和资料状态。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8064"/>
      </w:tblGrid>
      <w:tr>
        <w:trPr>
          <w:cantSplit/>
          <w:tblHeader/>
        </w:trPr>
        <w:tc>
          <w:tcPr>
            <w:tcW w:type="dxa" w:w="187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交接记录</w:t>
            </w:r>
          </w:p>
        </w:tc>
        <w:tc>
          <w:tcPr>
            <w:tcW w:type="dxa" w:w="806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必需字段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客户与场地</w:t>
            </w:r>
          </w:p>
        </w:tc>
        <w:tc>
          <w:tcPr>
            <w:tcW w:type="dxa" w:w="80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customerId siteId 门店 需求 同意与区域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商品与设备</w:t>
            </w:r>
          </w:p>
        </w:tc>
        <w:tc>
          <w:tcPr>
            <w:tcW w:type="dxa" w:w="80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skuId 型号 固件 serial deviceId 证书版本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交易</w:t>
            </w:r>
          </w:p>
        </w:tc>
        <w:tc>
          <w:tcPr>
            <w:tcW w:type="dxa" w:w="80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quoteId quoteVersion orderId PO 验收与应收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服务</w:t>
            </w:r>
          </w:p>
        </w:tc>
        <w:tc>
          <w:tcPr>
            <w:tcW w:type="dxa" w:w="80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installationId ticketId RMA 故障 分级 责任人与客户确认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技术</w:t>
            </w:r>
          </w:p>
        </w:tc>
        <w:tc>
          <w:tcPr>
            <w:tcW w:type="dxa" w:w="80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commandId idempotencyKey 期望/报告状态 时间戳 source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证据</w:t>
            </w:r>
          </w:p>
        </w:tc>
        <w:tc>
          <w:tcPr>
            <w:tcW w:type="dxa" w:w="80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milestoneId 文件版本 验收人 日期 结论</w:t>
            </w:r>
          </w:p>
        </w:tc>
      </w:tr>
    </w:tbl>
    <w:p/>
    <w:p>
      <w:r>
        <w:rPr>
          <w:rFonts w:eastAsia="Arial Unicode MS"/>
        </w:rPr>
        <w:t>国内支持只接收履行售后所需的脱敏资料。资金方只按合同需要获取交易资料。PNP资料按专业顾问确认的权限和要求提供。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08 三店装修与展厅</w:t>
      </w:r>
    </w:p>
    <w:p>
      <w:r>
        <w:rPr>
          <w:rFonts w:eastAsia="Arial Unicode MS"/>
        </w:rPr>
        <w:t>执行岗位  门店与工程负责人    阶段负责岗位  运营负责人</w:t>
      </w:r>
    </w:p>
    <w:p>
      <w:pPr>
        <w:pStyle w:val="Heading2"/>
      </w:pPr>
      <w:r>
        <w:rPr>
          <w:rFonts w:eastAsia="Arial Unicode MS"/>
        </w:rPr>
        <w:t>三店建设标准</w:t>
      </w:r>
    </w:p>
    <w:p>
      <w:r>
        <w:rPr>
          <w:rFonts w:eastAsia="Arial Unicode MS"/>
        </w:rPr>
        <w:t>S1/S2/S3独立预算、许可、工程进度和验收包。提供的展厅图用于品牌及场景方向，不据图推定面积、产品能力或现成门店。首期优先展示能源信息、冷暖/热泵、智能家居及安装服务；其他品类在选型放行后增加。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三店勘察与定位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S1/S2/S3各一份勘察、租赁及许可清单；首店选择批准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三店设计与首店开工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三店设计/工程量冻结；S1许可与采购批准后开工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S1装修及展厅试营业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首店工程验收；五个演示场景通过；无未关闭重大安全缺陷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S2验收并运营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S2工程/演示/人员培训验收；S3达到安装条件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S3验收并运营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S3完成验收；三店演示及客户流程采用统一版本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三店运营复核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三店各进行一次运营审计；连续四周记录演示和线索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每店五场景；装修、实物演示、CRM、培训、售后入口分别验收。门店转化率在M1建立基线后定目标；无来源销售额不设为既有业绩。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09 系统开发与设计</w:t>
      </w:r>
    </w:p>
    <w:p>
      <w:r>
        <w:rPr>
          <w:rFonts w:eastAsia="Arial Unicode MS"/>
        </w:rPr>
        <w:t>执行岗位  产品负责人    阶段负责岗位  技术负责人</w:t>
      </w:r>
    </w:p>
    <w:p>
      <w:pPr>
        <w:pStyle w:val="Heading2"/>
      </w:pPr>
      <w:r>
        <w:rPr>
          <w:rFonts w:eastAsia="Arial Unicode MS"/>
        </w:rPr>
        <w:t>系统首期范围</w:t>
      </w:r>
    </w:p>
    <w:p>
      <w:r>
        <w:rPr>
          <w:rFonts w:eastAsia="Arial Unicode MS"/>
        </w:rPr>
        <w:t>复用现有NEXA设计和工程。首期覆盖账户/家庭权限、设备绑定控制及状态、门店CRM、商品报价、订单、安装和售后工单、运营报表。生产支付、公开社区、VPP和碳收益另立项；订单先记录真实业务，按授权再接支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现有系统盘点与PRD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原型/模拟/真实能力逐项登记；MVP和业务流程批准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架构与设计冻结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账户权限、设备、CRM、工单契约冻结；十条关键流程可点击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Beta与首店后台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设备绑定/命令/状态与CRM工单在测试环境闭环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受控客户试点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建议十户试点；双账户隔离、断网及回滚通过；重大缺陷为零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三店共用版本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商品/SKU/报价/安装/RMA贯通；权限与价格由服务端校验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生产运维交接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核心流程通过率≥95%；严重未关闭缺陷为零；恢复演练通过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十条关键流程：登录、建家、绑定、控制、失败恢复、场景、语音授权、报价、安装验收、售后/RMA。双账户隔离、实测遥测只读、服务端价格和后台任务均需验证。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10 Smart Home与语音AI</w:t>
      </w:r>
    </w:p>
    <w:p>
      <w:r>
        <w:rPr>
          <w:rFonts w:eastAsia="Arial Unicode MS"/>
        </w:rPr>
        <w:t>执行岗位  物联网与语音工程师    阶段负责岗位  技术负责人</w:t>
      </w:r>
    </w:p>
    <w:p>
      <w:pPr>
        <w:pStyle w:val="Heading2"/>
      </w:pPr>
      <w:r>
        <w:rPr>
          <w:rFonts w:eastAsia="Arial Unicode MS"/>
        </w:rPr>
        <w:t>贝乐与BroadLink技术链</w:t>
      </w:r>
    </w:p>
    <w:p>
      <w:r>
        <w:rPr>
          <w:rFonts w:eastAsia="Arial Unicode MS"/>
        </w:rPr>
        <w:t>分别确认贝乐供货/渠道责任、BroadLink协议/固件/SDK责任及NEXA品牌/系统/本地服务责任。目录的Matter或语音功能不直接证明NEXA接口开放。4英寸目录标AC 110V/220V，10英寸DC12V，12.3与13.3英寸AC220V；逐型号核验北美配置。[S03]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供货与接入条件核验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取得贝乐/BroadLink授权链及SDK清单；Meta Muse产品身份确认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真实设备概念验证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至少三类低风险设备；100次控制有物理或独立状态验证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五场景与语音原型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回家/离家/睡眠/观影/节能五场景；语音受权限控制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语音与硬件Beta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至少200条中英文有效指令；物理完成率≥95%；高风险越权为零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固件及安装标准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三店型号/固件一致；升级/断网恢复/解绑可验证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集成质量验收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实物有效命令完成率≥98%；连续30日运行监测；隐私检查通过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先以灯光、窗帘、传感等低风险场景验证。IR/RF控制可能缺状态反馈，显示已发送与已验证完成两种结果。Meta Muse必须先核验产品身份、加拿大区域、API、语音路径及商用授权。[S07]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11 擎洲光电加拿大合作</w:t>
      </w:r>
    </w:p>
    <w:p>
      <w:r>
        <w:rPr>
          <w:rFonts w:eastAsia="Arial Unicode MS"/>
        </w:rPr>
        <w:t>执行岗位  战略合作负责人    阶段负责岗位  总经理</w:t>
      </w:r>
    </w:p>
    <w:p>
      <w:pPr>
        <w:pStyle w:val="Heading2"/>
      </w:pPr>
      <w:r>
        <w:rPr>
          <w:rFonts w:eastAsia="Arial Unicode MS"/>
        </w:rPr>
        <w:t>加拿大合作边界</w:t>
      </w:r>
    </w:p>
    <w:p>
      <w:r>
        <w:rPr>
          <w:rFonts w:eastAsia="Arial Unicode MS"/>
        </w:rPr>
        <w:t>擎洲光电及其加拿大主体、Letaron英文名称对应关系、渠道权限和现有协议均待核验。先完成主体/授权尽调，再签区域、产品、IP、认证、交付、质保、结算及终止条款。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加拿大合作主体尽调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确认擎洲光电中文及英文主体、加拿大主体与授权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合作条款与产品清单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区域/渠道/IP/认证/质量/责任/结算条款形成可签文本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协议及样品试点准备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双方签约后确定一个联合场景及样品验收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联合试点交付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一个场景完成安装、测试与责任边界确认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渠道与联合推广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批准联合产品资料及售后路径；合格商机进入CRM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合作评审与续期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核验交付/利润/供货/售后；明确扩展或停止结论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以一个联合场景测试技术、供货、质量和本地售后。共同审稿后再发布合作信息。联合推广线索和订单用真实CRM记录，不将签约或样品视作收入。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12 BC PNP项目</w:t>
      </w:r>
    </w:p>
    <w:p>
      <w:r>
        <w:rPr>
          <w:rFonts w:eastAsia="Arial Unicode MS"/>
        </w:rPr>
        <w:t>执行岗位  BC PNP持牌移民专业顾问    阶段负责岗位  总经理</w:t>
      </w:r>
    </w:p>
    <w:p>
      <w:pPr>
        <w:pStyle w:val="Heading2"/>
      </w:pPr>
      <w:r>
        <w:rPr>
          <w:rFonts w:eastAsia="Arial Unicode MS"/>
        </w:rPr>
        <w:t>PNP路径与六个月范围</w:t>
      </w:r>
    </w:p>
    <w:p>
      <w:r>
        <w:rPr>
          <w:rFonts w:eastAsia="Arial Unicode MS"/>
        </w:rPr>
        <w:t>WelcomeBC当前列Base、Regional及Strategic Projects。Base净资产门槛CAD600,000、合格个人投资CAD200,000；Regional为CAD300,000及CAD100,000，并要求参与社区适配。其他资格和例外须查项目指南。[S06]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路径与资格判断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专业顾问书面比较Base/Regional/Strategic Projects适用性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商业计划与经营证据框架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投资、就业、主动管理和增值业务证据可追溯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资格材料与区域沟通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材料完整性审查；如适用完成考察与社区推荐路径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条件满足后登记或准备申报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仅在专业确认后进行登记；收到邀请再准备完整申请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经营证据持续更新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真实投资、就业、采购、税务及主动管理按月归档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阶段成果与长期路径复核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六个月经营证据审计完成；后续履约及申报计划明确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Base及Regional还涉及主动经营、就业与语言等条件，通常需至少一名加拿大公民或永久居民全职新岗位。官方流程的最终经营报告通常在入境后18至20个月提交，六个月仅验收资格、材料和经营证据阶段。[S06]</w:t>
      </w:r>
    </w:p>
    <w:p>
      <w:r>
        <w:rPr>
          <w:rFonts w:eastAsia="Arial Unicode MS"/>
        </w:rPr>
        <w:t>禁止把移民挂钩投资、被动投资、回购承诺或单纯进出口当作默认合格业务。真实增值、经营地点、资金和岗位必须先由持牌顾问核验。M1路径选择前，不把三店开支默认计入申请人合格投资。[S06]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13 国内选品与售后</w:t>
      </w:r>
    </w:p>
    <w:p>
      <w:r>
        <w:rPr>
          <w:rFonts w:eastAsia="Arial Unicode MS"/>
        </w:rPr>
        <w:t>执行岗位  中国选品与售后接口岗位    阶段负责岗位  采购与供应链负责人</w:t>
      </w:r>
    </w:p>
    <w:p>
      <w:pPr>
        <w:pStyle w:val="Heading2"/>
      </w:pPr>
      <w:r>
        <w:rPr>
          <w:rFonts w:eastAsia="Arial Unicode MS"/>
        </w:rPr>
        <w:t>选品与售后责任</w:t>
      </w:r>
    </w:p>
    <w:p>
      <w:r>
        <w:rPr>
          <w:rFonts w:eastAsia="Arial Unicode MS"/>
        </w:rPr>
        <w:t>冰火人明姐合作主体及服务费待确认。建议十个候选SKU开始，按加拿大合规、系统兼容、质保、供货、落地成本及毛利筛选，至少五款完成样品评审后决定首发。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服务接口与选品标准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确定冰火人明姐主体、服务边界、选型及质量评分表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样品及售后协议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至少五个候选SKU完成样品评审；当地售后和国内升级分工明确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安装工单与售后演练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至少十个售后用例演练；现场交付和客户签收可追溯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受控客户服务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建议十户试点服务；工单均有责任人及状态；响应≥95%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补货与批次质量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备件最低库存批准；批次抽检与补货计划执行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服务与供应商评审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首修成功率≥85%；重复问题根因关闭；供应商分级完成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本地客户服务先响应，国内提供远程技术、厂家升级、选品及备件。加拿大当地时区定义服务时段；建议工作日09:00至18:00、一般工单4个工作小时内响应，M2依据合同确认。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14 供应链金融</w:t>
      </w:r>
    </w:p>
    <w:p>
      <w:r>
        <w:rPr>
          <w:rFonts w:eastAsia="Arial Unicode MS"/>
        </w:rPr>
        <w:t>执行岗位  财务与供应链金融负责人    阶段负责岗位  总经理</w:t>
      </w:r>
    </w:p>
    <w:p>
      <w:pPr>
        <w:pStyle w:val="Heading2"/>
      </w:pPr>
      <w:r>
        <w:rPr>
          <w:rFonts w:eastAsia="Arial Unicode MS"/>
        </w:rPr>
        <w:t>融资业务与资金边界</w:t>
      </w:r>
    </w:p>
    <w:p>
      <w:r>
        <w:rPr>
          <w:rFonts w:eastAsia="Arial Unicode MS"/>
        </w:rPr>
        <w:t>首期优先采用银行或合适资金方为NEXA真实采购、库存或应收提供融资；资金产品和主体由财务及法务判断。对外放贷、担保、代收或募集另做监管及合同评审。股权投资、PNP个人投资和债务须分开核算。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48"/>
        <w:gridCol w:w="2736"/>
        <w:gridCol w:w="6552"/>
      </w:tblGrid>
      <w:tr>
        <w:trPr>
          <w:cantSplit/>
          <w:tblHeader/>
        </w:trPr>
        <w:tc>
          <w:tcPr>
            <w:tcW w:type="dxa" w:w="6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月</w:t>
            </w:r>
          </w:p>
        </w:tc>
        <w:tc>
          <w:tcPr>
            <w:tcW w:type="dxa" w:w="27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交付</w:t>
            </w:r>
          </w:p>
        </w:tc>
        <w:tc>
          <w:tcPr>
            <w:tcW w:type="dxa" w:w="65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阶段验收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M1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融资业务模式与资金盘点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确定NEXA借款/应收转让/伙伴引荐角色；启动13周现金流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资金方及尽调材料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至少两类资金方方案比较；成本/担保/追索清楚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M3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信用审查及试单设计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资金方审查结果留存；试单限额经CEO批准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条件满足后首单执行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真实订单下实现一个受控融资交易；资金流全程对账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</w:t>
            </w:r>
          </w:p>
        </w:tc>
        <w:tc>
          <w:tcPr>
            <w:tcW w:type="dxa" w:w="27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回款及风险检查</w:t>
            </w:r>
          </w:p>
        </w:tc>
        <w:tc>
          <w:tcPr>
            <w:tcW w:type="dxa" w:w="65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试单达到约定节点；逾期、担保及费用与台账一致</w:t>
            </w:r>
          </w:p>
        </w:tc>
      </w:tr>
      <w:tr>
        <w:trPr>
          <w:cantSplit/>
        </w:trPr>
        <w:tc>
          <w:tcPr>
            <w:tcW w:type="dxa" w:w="6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</w:t>
            </w:r>
          </w:p>
        </w:tc>
        <w:tc>
          <w:tcPr>
            <w:tcW w:type="dxa" w:w="27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首周期复盘或延期决策</w:t>
            </w:r>
          </w:p>
        </w:tc>
        <w:tc>
          <w:tcPr>
            <w:tcW w:type="dxa" w:w="65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到期周期完成结算；未到期则核验节点并批准后续观察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验证与进入条件</w:t>
      </w:r>
    </w:p>
    <w:p>
      <w:r>
        <w:rPr>
          <w:rFonts w:eastAsia="Arial Unicode MS"/>
        </w:rPr>
        <w:t>先核对债权、货权、担保优先权与追索，再计算利息、手续费、汇率、逾期和坏账全成本。BC担保登记相关事项由专业顾问及资金方审查。[S11] 授信不等于已放款，放款不等于回款完成。</w:t>
      </w:r>
    </w:p>
    <w:p>
      <w:r>
        <w:rPr>
          <w:rFonts w:eastAsia="Arial Unicode MS"/>
        </w:rPr>
        <w:t>详细前置依赖与证据清单见执行台账和路线图对应里程碑ID。达标数据必须来自真实记录；无样本时记为未测。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15 标准流程 1 与 2</w:t>
      </w:r>
    </w:p>
    <w:p>
      <w:pPr>
        <w:pStyle w:val="Heading2"/>
      </w:pPr>
      <w:r>
        <w:rPr>
          <w:rFonts w:eastAsia="Arial Unicode MS"/>
        </w:rPr>
        <w:t>SOP01 立项与变更</w:t>
      </w:r>
    </w:p>
    <w:p>
      <w:r>
        <w:rPr>
          <w:rFonts w:eastAsia="Arial Unicode MS"/>
        </w:rPr>
        <w:t>R  项目管理负责人    A  总经理    输入  业务目标、预算来源、范围与初步依赖。</w:t>
      </w:r>
    </w:p>
    <w:p>
      <w:r>
        <w:rPr>
          <w:rFonts w:eastAsia="Arial Unicode MS"/>
        </w:rPr>
        <w:t>1. 申请岗位填写项目章程，登记预期交付、风险和验收人。</w:t>
      </w:r>
    </w:p>
    <w:p>
      <w:r>
        <w:rPr>
          <w:rFonts w:eastAsia="Arial Unicode MS"/>
        </w:rPr>
        <w:t>2. PMO核对资源、前置条件及证据格式，两个工作日内给出缺项。</w:t>
      </w:r>
    </w:p>
    <w:p>
      <w:r>
        <w:rPr>
          <w:rFonts w:eastAsia="Arial Unicode MS"/>
        </w:rPr>
        <w:t>3. 财务检查现金和成本，相关专业岗位审查技术或法规条件。</w:t>
      </w:r>
    </w:p>
    <w:p>
      <w:r>
        <w:rPr>
          <w:rFonts w:eastAsia="Arial Unicode MS"/>
        </w:rPr>
        <w:t>4. CEO批准预算及范围后建立原始基线；每项交付只设一个A。</w:t>
      </w:r>
    </w:p>
    <w:p>
      <w:r>
        <w:rPr>
          <w:rFonts w:eastAsia="Arial Unicode MS"/>
        </w:rPr>
        <w:t>5. 变更提交CR编号，记录费用、日期、影响与方案；批准后保留原基线及新版。</w:t>
      </w:r>
    </w:p>
    <w:p>
      <w:r>
        <w:rPr>
          <w:rFonts w:eastAsia="Arial Unicode MS"/>
        </w:rPr>
        <w:t>输出  项目章程、RACI、预算基线、CR日志。</w:t>
      </w:r>
    </w:p>
    <w:p>
      <w:r>
        <w:rPr>
          <w:rFonts w:eastAsia="Arial Unicode MS"/>
        </w:rPr>
        <w:t>异常  预计关键路径延迟超过5个工作日或预算超支超过10%，一个工作日内升级至CEO；阈值为提案并于G1批准。</w:t>
      </w:r>
    </w:p>
    <w:p>
      <w:pPr>
        <w:pStyle w:val="Heading2"/>
      </w:pPr>
      <w:r>
        <w:rPr>
          <w:rFonts w:eastAsia="Arial Unicode MS"/>
        </w:rPr>
        <w:t>SOP02 合同与伙伴交接</w:t>
      </w:r>
    </w:p>
    <w:p>
      <w:r>
        <w:rPr>
          <w:rFonts w:eastAsia="Arial Unicode MS"/>
        </w:rPr>
        <w:t>R  战略合作负责人    A  总经理    输入  主体证明、授权、业务范围、产品及商业条款。</w:t>
      </w:r>
    </w:p>
    <w:p>
      <w:r>
        <w:rPr>
          <w:rFonts w:eastAsia="Arial Unicode MS"/>
        </w:rPr>
        <w:t>1. BD核对签约主体和授权，建立伙伴档案及双方接口岗位。</w:t>
      </w:r>
    </w:p>
    <w:p>
      <w:r>
        <w:rPr>
          <w:rFonts w:eastAsia="Arial Unicode MS"/>
        </w:rPr>
        <w:t>2. 产品、采购、技术和售后共同列出范围、SLA、接口与验收。</w:t>
      </w:r>
    </w:p>
    <w:p>
      <w:r>
        <w:rPr>
          <w:rFonts w:eastAsia="Arial Unicode MS"/>
        </w:rPr>
        <w:t>3. 法务审查IP、数据、地域、认证、责任、终止与争议；财务审查结算和税务。</w:t>
      </w:r>
    </w:p>
    <w:p>
      <w:r>
        <w:rPr>
          <w:rFonts w:eastAsia="Arial Unicode MS"/>
        </w:rPr>
        <w:t>4. 有权签字人签署；未签文本不得登记为已生效合作。</w:t>
      </w:r>
    </w:p>
    <w:p>
      <w:r>
        <w:rPr>
          <w:rFonts w:eastAsia="Arial Unicode MS"/>
        </w:rPr>
        <w:t>5. BD在两个工作日内将已生效义务交接到任务台账，并核对执行方理解。</w:t>
      </w:r>
    </w:p>
    <w:p>
      <w:r>
        <w:rPr>
          <w:rFonts w:eastAsia="Arial Unicode MS"/>
        </w:rPr>
        <w:t>输出  合同台账、义务清单、责任与联络机制。</w:t>
      </w:r>
    </w:p>
    <w:p>
      <w:r>
        <w:rPr>
          <w:rFonts w:eastAsia="Arial Unicode MS"/>
        </w:rPr>
        <w:t>异常  主体、授权或关键责任未确认时，保留为待决策，暂停关联采购和对外合作主张。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16 标准流程 3 与 4</w:t>
      </w:r>
    </w:p>
    <w:p>
      <w:pPr>
        <w:pStyle w:val="Heading2"/>
      </w:pPr>
      <w:r>
        <w:rPr>
          <w:rFonts w:eastAsia="Arial Unicode MS"/>
        </w:rPr>
        <w:t>SOP03 选品采购与到货</w:t>
      </w:r>
    </w:p>
    <w:p>
      <w:r>
        <w:rPr>
          <w:rFonts w:eastAsia="Arial Unicode MS"/>
        </w:rPr>
        <w:t>R  采购与供应链负责人    A  运营负责人    输入  场景需求、型号、预算、样品和合规资料。</w:t>
      </w:r>
    </w:p>
    <w:p>
      <w:r>
        <w:rPr>
          <w:rFonts w:eastAsia="Arial Unicode MS"/>
        </w:rPr>
        <w:t>1. 产品负责人确定场景和SKU属性，采购建立版本化选型表。</w:t>
      </w:r>
    </w:p>
    <w:p>
      <w:r>
        <w:rPr>
          <w:rFonts w:eastAsia="Arial Unicode MS"/>
        </w:rPr>
        <w:t>2. SCM核对样品、认证、电压、插件及接口；QA记录测试结果。</w:t>
      </w:r>
    </w:p>
    <w:p>
      <w:r>
        <w:rPr>
          <w:rFonts w:eastAsia="Arial Unicode MS"/>
        </w:rPr>
        <w:t>3. 至少比较两份可比报价或说明唯一来源，计算落地成本和质保成本。</w:t>
      </w:r>
    </w:p>
    <w:p>
      <w:r>
        <w:rPr>
          <w:rFonts w:eastAsia="Arial Unicode MS"/>
        </w:rPr>
        <w:t>4. COO批准采购，财务复核付款；大额阈值在G1另定。</w:t>
      </w:r>
    </w:p>
    <w:p>
      <w:r>
        <w:rPr>
          <w:rFonts w:eastAsia="Arial Unicode MS"/>
        </w:rPr>
        <w:t>5. 到货按PO和序列号核验数量、外观、功能、资料；不合格隔离。</w:t>
      </w:r>
    </w:p>
    <w:p>
      <w:r>
        <w:rPr>
          <w:rFonts w:eastAsia="Arial Unicode MS"/>
        </w:rPr>
        <w:t>6. 入库建立批次及位置，资料完整后放行到安装或销售。</w:t>
      </w:r>
    </w:p>
    <w:p>
      <w:r>
        <w:rPr>
          <w:rFonts w:eastAsia="Arial Unicode MS"/>
        </w:rPr>
        <w:t>输出  SKU放行单、PO、IQC、批次库存。</w:t>
      </w:r>
    </w:p>
    <w:p>
      <w:r>
        <w:rPr>
          <w:rFonts w:eastAsia="Arial Unicode MS"/>
        </w:rPr>
        <w:t>异常  证书型号不匹配、220V兼容性未解决或样品失败，不进入客户交付。</w:t>
      </w:r>
    </w:p>
    <w:p>
      <w:pPr>
        <w:pStyle w:val="Heading2"/>
      </w:pPr>
      <w:r>
        <w:rPr>
          <w:rFonts w:eastAsia="Arial Unicode MS"/>
        </w:rPr>
        <w:t>SOP04 门店工程与开业</w:t>
      </w:r>
    </w:p>
    <w:p>
      <w:r>
        <w:rPr>
          <w:rFonts w:eastAsia="Arial Unicode MS"/>
        </w:rPr>
        <w:t>R  门店与工程负责人    A  运营负责人    输入  逐店勘察、租赁条件、预算与批准的展厅方案。</w:t>
      </w:r>
    </w:p>
    <w:p>
      <w:r>
        <w:rPr>
          <w:rFonts w:eastAsia="Arial Unicode MS"/>
        </w:rPr>
        <w:t>1. 确认房东及地方许可条件，将消防、电气、施工与营业许可适用性分别登记。</w:t>
      </w:r>
    </w:p>
    <w:p>
      <w:r>
        <w:rPr>
          <w:rFonts w:eastAsia="Arial Unicode MS"/>
        </w:rPr>
        <w:t>2. 冻结平面、施工图、BOQ及演示设备位置；选施工方及项目保险。</w:t>
      </w:r>
    </w:p>
    <w:p>
      <w:r>
        <w:rPr>
          <w:rFonts w:eastAsia="Arial Unicode MS"/>
        </w:rPr>
        <w:t>3. 每周核对施工完成量、费用、变更、供货和安全问题。</w:t>
      </w:r>
    </w:p>
    <w:p>
      <w:r>
        <w:rPr>
          <w:rFonts w:eastAsia="Arial Unicode MS"/>
        </w:rPr>
        <w:t>4. QA会同合格专业人员验收适用工程，关闭重大问题并归档竣工图。</w:t>
      </w:r>
    </w:p>
    <w:p>
      <w:r>
        <w:rPr>
          <w:rFonts w:eastAsia="Arial Unicode MS"/>
        </w:rPr>
        <w:t>5. 技术与店长验收五场景、CRM、报价、交付和故障降级流程。</w:t>
      </w:r>
    </w:p>
    <w:p>
      <w:r>
        <w:rPr>
          <w:rFonts w:eastAsia="Arial Unicode MS"/>
        </w:rPr>
        <w:t>6. COO签署开业批准，前三周每日记录问题并整改；再复制S2/S3。</w:t>
      </w:r>
    </w:p>
    <w:p>
      <w:r>
        <w:rPr>
          <w:rFonts w:eastAsia="Arial Unicode MS"/>
        </w:rPr>
        <w:t>输出  每店开业验收包、资产清单、培训及演示脚本。</w:t>
      </w:r>
    </w:p>
    <w:p>
      <w:r>
        <w:rPr>
          <w:rFonts w:eastAsia="Arial Unicode MS"/>
        </w:rPr>
        <w:t>异常  场地许可未通过时重排工期；设备联调迟延可完成装修，但须标明展厅未具备正式演示条件。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17 标准流程 5 与 6</w:t>
      </w:r>
    </w:p>
    <w:p>
      <w:pPr>
        <w:pStyle w:val="Heading2"/>
      </w:pPr>
      <w:r>
        <w:rPr>
          <w:rFonts w:eastAsia="Arial Unicode MS"/>
        </w:rPr>
        <w:t>SOP05 系统开发与版本发布</w:t>
      </w:r>
    </w:p>
    <w:p>
      <w:r>
        <w:rPr>
          <w:rFonts w:eastAsia="Arial Unicode MS"/>
        </w:rPr>
        <w:t>R  技术负责人    A  产品负责人    输入  PRD、设计、数据/API契约与用例。</w:t>
      </w:r>
    </w:p>
    <w:p>
      <w:r>
        <w:rPr>
          <w:rFonts w:eastAsia="Arial Unicode MS"/>
        </w:rPr>
        <w:t>1. 产品分解需求并定义可测试验收条件，技术估时及依赖。</w:t>
      </w:r>
    </w:p>
    <w:p>
      <w:r>
        <w:rPr>
          <w:rFonts w:eastAsia="Arial Unicode MS"/>
        </w:rPr>
        <w:t>2. 设计评审后实现最小闭环，开发/测试/生产配置和资料隔离。</w:t>
      </w:r>
    </w:p>
    <w:p>
      <w:r>
        <w:rPr>
          <w:rFonts w:eastAsia="Arial Unicode MS"/>
        </w:rPr>
        <w:t>3. QA测试权限隔离、输入校验、设备失败、数据一致性与移动端。</w:t>
      </w:r>
    </w:p>
    <w:p>
      <w:r>
        <w:rPr>
          <w:rFonts w:eastAsia="Arial Unicode MS"/>
        </w:rPr>
        <w:t>4. 产品验收业务流程，技术检查监控、备份与回滚。</w:t>
      </w:r>
    </w:p>
    <w:p>
      <w:r>
        <w:rPr>
          <w:rFonts w:eastAsia="Arial Unicode MS"/>
        </w:rPr>
        <w:t>5. 有权发布岗位批准上线，记录版本、时间、变更和已知限制。</w:t>
      </w:r>
    </w:p>
    <w:p>
      <w:r>
        <w:rPr>
          <w:rFonts w:eastAsia="Arial Unicode MS"/>
        </w:rPr>
        <w:t>6. 观察期问题关联缺陷和客户工单，恢复或回滚后重新验收。</w:t>
      </w:r>
    </w:p>
    <w:p>
      <w:r>
        <w:rPr>
          <w:rFonts w:eastAsia="Arial Unicode MS"/>
        </w:rPr>
        <w:t>输出  版本说明、UAT、发布/回滚记录。</w:t>
      </w:r>
    </w:p>
    <w:p>
      <w:r>
        <w:rPr>
          <w:rFonts w:eastAsia="Arial Unicode MS"/>
        </w:rPr>
        <w:t>异常  真实设备不可用则保持模拟模式标注；严重缺陷、数据越权或恢复失败不得放量。</w:t>
      </w:r>
    </w:p>
    <w:p>
      <w:pPr>
        <w:pStyle w:val="Heading2"/>
      </w:pPr>
      <w:r>
        <w:rPr>
          <w:rFonts w:eastAsia="Arial Unicode MS"/>
        </w:rPr>
        <w:t>SOP06 设备与语音命令</w:t>
      </w:r>
    </w:p>
    <w:p>
      <w:r>
        <w:rPr>
          <w:rFonts w:eastAsia="Arial Unicode MS"/>
        </w:rPr>
        <w:t>R  物联网与语音工程师    A  技术负责人    输入  认证及型号通过的设备、SDK许可、家庭权限、用户语音同意。</w:t>
      </w:r>
    </w:p>
    <w:p>
      <w:r>
        <w:rPr>
          <w:rFonts w:eastAsia="Arial Unicode MS"/>
        </w:rPr>
        <w:t>1. 建立设备ID、型号、固件、序列号与家庭所有权，验证绑定和解绑。</w:t>
      </w:r>
    </w:p>
    <w:p>
      <w:r>
        <w:rPr>
          <w:rFonts w:eastAsia="Arial Unicode MS"/>
        </w:rPr>
        <w:t>2. 语音转换为结构化意图，限制工具、设备范围和参数，含糊意图先澄清。</w:t>
      </w:r>
    </w:p>
    <w:p>
      <w:r>
        <w:rPr>
          <w:rFonts w:eastAsia="Arial Unicode MS"/>
        </w:rPr>
        <w:t>3. 服务端核对家庭与成员权限，危险动作二次确认或在首期禁用。</w:t>
      </w:r>
    </w:p>
    <w:p>
      <w:r>
        <w:rPr>
          <w:rFonts w:eastAsia="Arial Unicode MS"/>
        </w:rPr>
        <w:t>4. 产生唯一命令ID和幂等键，记录queued/sent/ack/reported等实际能力支持的状态。</w:t>
      </w:r>
    </w:p>
    <w:p>
      <w:r>
        <w:rPr>
          <w:rFonts w:eastAsia="Arial Unicode MS"/>
        </w:rPr>
        <w:t>5. 以物理状态或独立遥测验证完成；IR无反馈设备仅记为已发送，另行人工抽验。</w:t>
      </w:r>
    </w:p>
    <w:p>
      <w:r>
        <w:rPr>
          <w:rFonts w:eastAsia="Arial Unicode MS"/>
        </w:rPr>
        <w:t>6. 超时记为结果未知，查原命令；不换键重复执行。失败给可操作恢复路径。</w:t>
      </w:r>
    </w:p>
    <w:p>
      <w:r>
        <w:rPr>
          <w:rFonts w:eastAsia="Arial Unicode MS"/>
        </w:rPr>
        <w:t>输出  命令审计、设备级结果、失败分类与语音测试报告。</w:t>
      </w:r>
    </w:p>
    <w:p>
      <w:r>
        <w:rPr>
          <w:rFonts w:eastAsia="Arial Unicode MS"/>
        </w:rPr>
        <w:t>异常  Muse身份、加拿大区域、API或商用条件未通过时，只保留适配器评估；不能宣称Muse已接通。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18 标准流程 7 与 8</w:t>
      </w:r>
    </w:p>
    <w:p>
      <w:pPr>
        <w:pStyle w:val="Heading2"/>
      </w:pPr>
      <w:r>
        <w:rPr>
          <w:rFonts w:eastAsia="Arial Unicode MS"/>
        </w:rPr>
        <w:t>SOP07 客户报价安装与交付</w:t>
      </w:r>
    </w:p>
    <w:p>
      <w:r>
        <w:rPr>
          <w:rFonts w:eastAsia="Arial Unicode MS"/>
        </w:rPr>
        <w:t>R  店长 每店一岗    A  安装与售后技术负责人    输入  客户需求与同意、现场条件、批准SKU与成本。</w:t>
      </w:r>
    </w:p>
    <w:p>
      <w:r>
        <w:rPr>
          <w:rFonts w:eastAsia="Arial Unicode MS"/>
        </w:rPr>
        <w:t>1. 店员经同意录入CRM，完成现场问诊或勘察，明确兼容性。</w:t>
      </w:r>
    </w:p>
    <w:p>
      <w:r>
        <w:rPr>
          <w:rFonts w:eastAsia="Arial Unicode MS"/>
        </w:rPr>
        <w:t>2. 生成版本化报价与范围，写明产品、安装、保修、税费和排除项。</w:t>
      </w:r>
    </w:p>
    <w:p>
      <w:r>
        <w:rPr>
          <w:rFonts w:eastAsia="Arial Unicode MS"/>
        </w:rPr>
        <w:t>3. 有权岗位确认订单及付款条款，采购和安装核对库存、时间与人员。</w:t>
      </w:r>
    </w:p>
    <w:p>
      <w:r>
        <w:rPr>
          <w:rFonts w:eastAsia="Arial Unicode MS"/>
        </w:rPr>
        <w:t>4. 安装员按SOP执行，记录设备/固件/照片；涉及电气工作由符合当地要求的人员执行。</w:t>
      </w:r>
    </w:p>
    <w:p>
      <w:r>
        <w:rPr>
          <w:rFonts w:eastAsia="Arial Unicode MS"/>
        </w:rPr>
        <w:t>5. 客户和QA按清单验证设备、场景、账户权限及说明，记录缺陷或签收。</w:t>
      </w:r>
    </w:p>
    <w:p>
      <w:r>
        <w:rPr>
          <w:rFonts w:eastAsia="Arial Unicode MS"/>
        </w:rPr>
        <w:t>6. 交接服务入口和保修，安排48小时及第7日回访，更新CRM。</w:t>
      </w:r>
    </w:p>
    <w:p>
      <w:r>
        <w:rPr>
          <w:rFonts w:eastAsia="Arial Unicode MS"/>
        </w:rPr>
        <w:t>输出  客户订单、安装单、验收签收、资产及保修档案。</w:t>
      </w:r>
    </w:p>
    <w:p>
      <w:r>
        <w:rPr>
          <w:rFonts w:eastAsia="Arial Unicode MS"/>
        </w:rPr>
        <w:t>异常  未验收部分不得记为完成；客户需求变化走变更单；现场危险条件升级并暂停。</w:t>
      </w:r>
    </w:p>
    <w:p>
      <w:pPr>
        <w:pStyle w:val="Heading2"/>
      </w:pPr>
      <w:r>
        <w:rPr>
          <w:rFonts w:eastAsia="Arial Unicode MS"/>
        </w:rPr>
        <w:t>SOP08 售后与中国支持</w:t>
      </w:r>
    </w:p>
    <w:p>
      <w:r>
        <w:rPr>
          <w:rFonts w:eastAsia="Arial Unicode MS"/>
        </w:rPr>
        <w:t>R  安装与售后技术负责人    A  运营负责人    输入  客户工单、序列号、故障、时间及授权。</w:t>
      </w:r>
    </w:p>
    <w:p>
      <w:r>
        <w:rPr>
          <w:rFonts w:eastAsia="Arial Unicode MS"/>
        </w:rPr>
        <w:t>1. 本地服务先建工单，分类安全/不可用/一般问题，记录服务时段。</w:t>
      </w:r>
    </w:p>
    <w:p>
      <w:r>
        <w:rPr>
          <w:rFonts w:eastAsia="Arial Unicode MS"/>
        </w:rPr>
        <w:t>2. 本地责任岗位排查并提供首次响应；需要中国支持时发脱敏技术资料。</w:t>
      </w:r>
    </w:p>
    <w:p>
      <w:r>
        <w:rPr>
          <w:rFonts w:eastAsia="Arial Unicode MS"/>
        </w:rPr>
        <w:t>3. CN组织冰火人明姐与厂家给出诊断、固件或备件建议，回到同一工单。</w:t>
      </w:r>
    </w:p>
    <w:p>
      <w:r>
        <w:rPr>
          <w:rFonts w:eastAsia="Arial Unicode MS"/>
        </w:rPr>
        <w:t>4. 更换走RMA编号和库存领用，记录成本、质保责任和退货物流。</w:t>
      </w:r>
    </w:p>
    <w:p>
      <w:r>
        <w:rPr>
          <w:rFonts w:eastAsia="Arial Unicode MS"/>
        </w:rPr>
        <w:t>5. 本地复测并由客户确认，观察7日后判断是否首次修复。</w:t>
      </w:r>
    </w:p>
    <w:p>
      <w:r>
        <w:rPr>
          <w:rFonts w:eastAsia="Arial Unicode MS"/>
        </w:rPr>
        <w:t>6. 每月汇总重复故障和供应商责任，推进纠正措施并核验有效性。</w:t>
      </w:r>
    </w:p>
    <w:p>
      <w:r>
        <w:rPr>
          <w:rFonts w:eastAsia="Arial Unicode MS"/>
        </w:rPr>
        <w:t>输出  工单、RMA、客户确认、根因及供应商对账。</w:t>
      </w:r>
    </w:p>
    <w:p>
      <w:r>
        <w:rPr>
          <w:rFonts w:eastAsia="Arial Unicode MS"/>
        </w:rPr>
        <w:t>异常  安全问题立即按现场应急规程处置并升级；超时升级INSTALL至COO，再到CEO，不因中国非工作时段停留无主。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19 标准流程 9 与 10</w:t>
      </w:r>
    </w:p>
    <w:p>
      <w:pPr>
        <w:pStyle w:val="Heading2"/>
      </w:pPr>
      <w:r>
        <w:rPr>
          <w:rFonts w:eastAsia="Arial Unicode MS"/>
        </w:rPr>
        <w:t>SOP09 BC PNP阶段材料</w:t>
      </w:r>
    </w:p>
    <w:p>
      <w:r>
        <w:rPr>
          <w:rFonts w:eastAsia="Arial Unicode MS"/>
        </w:rPr>
        <w:t>R  BC PNP持牌移民专业顾问    A  总经理    输入  实际申请人或企业资料、资金来源、业务与地区方案。</w:t>
      </w:r>
    </w:p>
    <w:p>
      <w:r>
        <w:rPr>
          <w:rFonts w:eastAsia="Arial Unicode MS"/>
        </w:rPr>
        <w:t>1. 持牌专业顾问书面确认路径、资格和角色；PMO只管理资料任务。</w:t>
      </w:r>
    </w:p>
    <w:p>
      <w:r>
        <w:rPr>
          <w:rFonts w:eastAsia="Arial Unicode MS"/>
        </w:rPr>
        <w:t>2. 建立商业计划与适用材料索引，核对真实投资、就业与主动管理条件。</w:t>
      </w:r>
    </w:p>
    <w:p>
      <w:r>
        <w:rPr>
          <w:rFonts w:eastAsia="Arial Unicode MS"/>
        </w:rPr>
        <w:t>3. 根据路径准备考察、社区推荐或登记；未经确认不安排依赖申报认可的支出。</w:t>
      </w:r>
    </w:p>
    <w:p>
      <w:r>
        <w:rPr>
          <w:rFonts w:eastAsia="Arial Unicode MS"/>
        </w:rPr>
        <w:t>4. 收到外部邀请/决定后更新里程碑，保存回执及最新缺项。</w:t>
      </w:r>
    </w:p>
    <w:p>
      <w:r>
        <w:rPr>
          <w:rFonts w:eastAsia="Arial Unicode MS"/>
        </w:rPr>
        <w:t>5. 财务和人事每月提供真实经营证据，顾问核验可用性和归属。</w:t>
      </w:r>
    </w:p>
    <w:p>
      <w:r>
        <w:rPr>
          <w:rFonts w:eastAsia="Arial Unicode MS"/>
        </w:rPr>
        <w:t>6. 六个月评审阶段成果及后续履约计划，不以六个月获得提名或PR验收。</w:t>
      </w:r>
    </w:p>
    <w:p>
      <w:r>
        <w:rPr>
          <w:rFonts w:eastAsia="Arial Unicode MS"/>
        </w:rPr>
        <w:t>输出  路径意见、商业计划、材料目录、阶段回执与持续经营档案。</w:t>
      </w:r>
    </w:p>
    <w:p>
      <w:r>
        <w:rPr>
          <w:rFonts w:eastAsia="Arial Unicode MS"/>
        </w:rPr>
        <w:t>异常  资格、业务类型、资金或地区不适用即暂停申报路线；三店商业计划继续按真实商业价值判断。</w:t>
      </w:r>
    </w:p>
    <w:p>
      <w:pPr>
        <w:pStyle w:val="Heading2"/>
      </w:pPr>
      <w:r>
        <w:rPr>
          <w:rFonts w:eastAsia="Arial Unicode MS"/>
        </w:rPr>
        <w:t>SOP10 供应链融资与回款</w:t>
      </w:r>
    </w:p>
    <w:p>
      <w:r>
        <w:rPr>
          <w:rFonts w:eastAsia="Arial Unicode MS"/>
        </w:rPr>
        <w:t>R  财务与供应链金融负责人    A  总经理    输入  真实贸易订单、采购/物流/验收/应收、资金方条款。</w:t>
      </w:r>
    </w:p>
    <w:p>
      <w:r>
        <w:rPr>
          <w:rFonts w:eastAsia="Arial Unicode MS"/>
        </w:rPr>
        <w:t>1. FIN定义借款人、担保人、资产、币种与现金缺口，分开股权资金和债务。</w:t>
      </w:r>
    </w:p>
    <w:p>
      <w:r>
        <w:rPr>
          <w:rFonts w:eastAsia="Arial Unicode MS"/>
        </w:rPr>
        <w:t>2. 资金方完成尽调及授信；法务确认债权/担保/优先权、追索和监管适用性。</w:t>
      </w:r>
    </w:p>
    <w:p>
      <w:r>
        <w:rPr>
          <w:rFonts w:eastAsia="Arial Unicode MS"/>
        </w:rPr>
        <w:t>3. 核算全成本与回款错配，CEO批准试单额度、停止条件与备用现金。</w:t>
      </w:r>
    </w:p>
    <w:p>
      <w:r>
        <w:rPr>
          <w:rFonts w:eastAsia="Arial Unicode MS"/>
        </w:rPr>
        <w:t>4. 按合同执行放款和采购，每节点核对银行、PO、物流、验收及应收。</w:t>
      </w:r>
    </w:p>
    <w:p>
      <w:r>
        <w:rPr>
          <w:rFonts w:eastAsia="Arial Unicode MS"/>
        </w:rPr>
        <w:t>5. 跟踪到期、付款、逾期与客户争议，异常立即报告资金方及CEO。</w:t>
      </w:r>
    </w:p>
    <w:p>
      <w:r>
        <w:rPr>
          <w:rFonts w:eastAsia="Arial Unicode MS"/>
        </w:rPr>
        <w:t>6. 收款、利息及费用清算后复盘；周期未到期只能验收当前节点。</w:t>
      </w:r>
    </w:p>
    <w:p>
      <w:r>
        <w:rPr>
          <w:rFonts w:eastAsia="Arial Unicode MS"/>
        </w:rPr>
        <w:t>输出  授信与合同、交易台账、对账、回款与成本复盘。</w:t>
      </w:r>
    </w:p>
    <w:p>
      <w:r>
        <w:rPr>
          <w:rFonts w:eastAsia="Arial Unicode MS"/>
        </w:rPr>
        <w:t>异常  无真实订单、授信或权属核验则不放款；不以融资弥补未知回款或无批准的库存扩张。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20 标准流程 11 与 12</w:t>
      </w:r>
    </w:p>
    <w:p>
      <w:pPr>
        <w:pStyle w:val="Heading2"/>
      </w:pPr>
      <w:r>
        <w:rPr>
          <w:rFonts w:eastAsia="Arial Unicode MS"/>
        </w:rPr>
        <w:t>SOP11 人员培训与交接</w:t>
      </w:r>
    </w:p>
    <w:p>
      <w:r>
        <w:rPr>
          <w:rFonts w:eastAsia="Arial Unicode MS"/>
        </w:rPr>
        <w:t>R  人事与行政岗位    A  运营负责人    输入  岗位职责、合同、能力和可用工时。</w:t>
      </w:r>
    </w:p>
    <w:p>
      <w:r>
        <w:rPr>
          <w:rFonts w:eastAsia="Arial Unicode MS"/>
        </w:rPr>
        <w:t>1. 先填岗位与容量，再提名人员；同一人可兼岗但须说明工时及冲突。</w:t>
      </w:r>
    </w:p>
    <w:p>
      <w:r>
        <w:rPr>
          <w:rFonts w:eastAsia="Arial Unicode MS"/>
        </w:rPr>
        <w:t>2. 入职完成合同、保密、权限、设备及五场景培训。</w:t>
      </w:r>
    </w:p>
    <w:p>
      <w:r>
        <w:rPr>
          <w:rFonts w:eastAsia="Arial Unicode MS"/>
        </w:rPr>
        <w:t>3. 店员考核演示、CRM和故障说明；工程师考核安装与回执验证。</w:t>
      </w:r>
    </w:p>
    <w:p>
      <w:r>
        <w:rPr>
          <w:rFonts w:eastAsia="Arial Unicode MS"/>
        </w:rPr>
        <w:t>4. 每周检查资源容量，预留建议20%工时处理整改和支持。</w:t>
      </w:r>
    </w:p>
    <w:p>
      <w:r>
        <w:rPr>
          <w:rFonts w:eastAsia="Arial Unicode MS"/>
        </w:rPr>
        <w:t>5. 休假前交接任务、证据与备岗；离岗撤销权限、交接资产和未完工单。</w:t>
      </w:r>
    </w:p>
    <w:p>
      <w:r>
        <w:rPr>
          <w:rFonts w:eastAsia="Arial Unicode MS"/>
        </w:rPr>
        <w:t>输出  岗位任命、培训记录、访问和交接表。</w:t>
      </w:r>
    </w:p>
    <w:p>
      <w:r>
        <w:rPr>
          <w:rFonts w:eastAsia="Arial Unicode MS"/>
        </w:rPr>
        <w:t>异常  采购申请人与付款/验收不宜由同一人独立完成；缺人时由独立顾问或有权岗位复核。</w:t>
      </w:r>
    </w:p>
    <w:p>
      <w:pPr>
        <w:pStyle w:val="Heading2"/>
      </w:pPr>
      <w:r>
        <w:rPr>
          <w:rFonts w:eastAsia="Arial Unicode MS"/>
        </w:rPr>
        <w:t>SOP12 质量数据与持续运营</w:t>
      </w:r>
    </w:p>
    <w:p>
      <w:r>
        <w:rPr>
          <w:rFonts w:eastAsia="Arial Unicode MS"/>
        </w:rPr>
        <w:t>R  质量与验收负责人    A  运营负责人    输入  任务、设备、客户、库存、财务和KPI记录。</w:t>
      </w:r>
    </w:p>
    <w:p>
      <w:r>
        <w:rPr>
          <w:rFonts w:eastAsia="Arial Unicode MS"/>
        </w:rPr>
        <w:t>1. 每个里程碑声明完成时提交版本、结果、证据、验收人及日期。</w:t>
      </w:r>
    </w:p>
    <w:p>
      <w:r>
        <w:rPr>
          <w:rFonts w:eastAsia="Arial Unicode MS"/>
        </w:rPr>
        <w:t>2. QA核对样本、来源、单位和缺失数据，区分无样本与零结果。</w:t>
      </w:r>
    </w:p>
    <w:p>
      <w:r>
        <w:rPr>
          <w:rFonts w:eastAsia="Arial Unicode MS"/>
        </w:rPr>
        <w:t>3. 每周抽查资料和跨系统ID，月度冻结KPI口径并记录修订。</w:t>
      </w:r>
    </w:p>
    <w:p>
      <w:r>
        <w:rPr>
          <w:rFonts w:eastAsia="Arial Unicode MS"/>
        </w:rPr>
        <w:t>4. 备份按技术方案执行，季度或关键发布前演练恢复及权限撤销。</w:t>
      </w:r>
    </w:p>
    <w:p>
      <w:r>
        <w:rPr>
          <w:rFonts w:eastAsia="Arial Unicode MS"/>
        </w:rPr>
        <w:t>5. 遇到系统或供应商中断启动手工工单和本地控制，恢复后核对补录。</w:t>
      </w:r>
    </w:p>
    <w:p>
      <w:r>
        <w:rPr>
          <w:rFonts w:eastAsia="Arial Unicode MS"/>
        </w:rPr>
        <w:t>6. 复盘问题并指定纠正措施、截止日和效果验证，下版手册保留变更历史。</w:t>
      </w:r>
    </w:p>
    <w:p>
      <w:r>
        <w:rPr>
          <w:rFonts w:eastAsia="Arial Unicode MS"/>
        </w:rPr>
        <w:t>输出  验收、数据质量、恢复演练和纠正措施记录。</w:t>
      </w:r>
    </w:p>
    <w:p>
      <w:r>
        <w:rPr>
          <w:rFonts w:eastAsia="Arial Unicode MS"/>
        </w:rPr>
        <w:t>异常  无证据和独立复核不得已验收；数据缺失不填零，不从模拟结果生成真实经营指标。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21 管理门店系统与硬件KPI</w:t>
      </w:r>
    </w:p>
    <w:p>
      <w:r>
        <w:rPr>
          <w:rFonts w:eastAsia="Arial Unicode MS"/>
        </w:rPr>
        <w:t>全部阈值为提案目标，G1批准、M3依据资源和样本校准。指标不以模拟资料填报；比率必须保留分子、分母、期间及最小样本。低于最小样本记为样本不足，不判达标。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1080"/>
        <w:gridCol w:w="3384"/>
        <w:gridCol w:w="2376"/>
      </w:tblGrid>
      <w:tr>
        <w:trPr>
          <w:cantSplit/>
          <w:tblHeader/>
        </w:trPr>
        <w:tc>
          <w:tcPr>
            <w:tcW w:type="dxa" w:w="309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08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338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分母或观察范围</w:t>
            </w:r>
          </w:p>
        </w:tc>
        <w:tc>
          <w:tcPr>
            <w:tcW w:type="dxa" w:w="237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频率与责任岗位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K01 岗位责任覆盖率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应设关键岗位数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月度</w:t>
              <w:br/>
              <w:t>运营负责人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K02 里程碑按期验收率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&gt;=90%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当期计划到期里程碑数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月度</w:t>
              <w:br/>
              <w:t>项目管理负责人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K03 验收证据完整率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声明完成的里程碑数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</w:t>
              <w:br/>
              <w:t>质量与验收负责人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K04 三店最终验收数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&gt;=3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M5及M6</w:t>
              <w:br/>
              <w:t>门店与工程负责人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K05 展厅演示成功率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&gt;=95%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当期有效演示尝试数</w:t>
              <w:br/>
              <w:t>最小样本 20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每店每周</w:t>
              <w:br/>
              <w:t>店长 每店一岗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K06 线索信息完整率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&gt;=95%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客户同意登记的线索数</w:t>
              <w:br/>
              <w:t>最小样本 10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</w:t>
              <w:br/>
              <w:t>店长 每店一岗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K07 关键UAT通过率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&gt;=95%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基线关键用例数</w:t>
              <w:br/>
              <w:t>最小样本 20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每版本</w:t>
              <w:br/>
              <w:t>质量与验收负责人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K08 严重未关闭缺陷数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&lt;=0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发布前</w:t>
              <w:br/>
              <w:t>技术负责人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K09 备份恢复演练通过数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M4与M6</w:t>
              <w:br/>
              <w:t>技术负责人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K10 有效控制物理完成率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&gt;=98%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当期有效授权命令数</w:t>
              <w:br/>
              <w:t>最小样本 100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M6及每周</w:t>
              <w:br/>
              <w:t>物联网与语音工程师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K11 语音物理完成率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&gt;=95%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有效授权中英文语音指令数</w:t>
              <w:br/>
              <w:t>最小样本 200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M4与每版本</w:t>
              <w:br/>
              <w:t>物联网与语音工程师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K12 危险或越权执行次数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&lt;=0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每版本</w:t>
              <w:br/>
              <w:t>质量与验收负责人</w:t>
            </w:r>
          </w:p>
        </w:tc>
      </w:tr>
    </w:tbl>
    <w:p/>
    <w:p>
      <w:r>
        <w:rPr>
          <w:rFonts w:eastAsia="Arial Unicode MS"/>
        </w:rPr>
        <w:t>K02分母采用原始月度到期基线，逾期未完成也计入；已批准取消另列。按期完成必须在原基线日前验收，重排工期同时报告原始达标率。K10和K11以物理完成或独立状态验证为分子；只收到HTTP 200或厂商接收确认不算完成。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22 合作申报服务与融资KPI</w:t>
      </w:r>
    </w:p>
    <w:p>
      <w:r>
        <w:rPr>
          <w:rFonts w:eastAsia="Arial Unicode MS"/>
        </w:rPr>
        <w:t>全部阈值为提案目标，G1批准、M3依据资源和样本校准。指标不以模拟资料填报；比率必须保留分子、分母、期间及最小样本。低于最小样本记为样本不足，不判达标。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1080"/>
        <w:gridCol w:w="3384"/>
        <w:gridCol w:w="2376"/>
      </w:tblGrid>
      <w:tr>
        <w:trPr>
          <w:cantSplit/>
          <w:tblHeader/>
        </w:trPr>
        <w:tc>
          <w:tcPr>
            <w:tcW w:type="dxa" w:w="309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08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目标</w:t>
            </w:r>
          </w:p>
        </w:tc>
        <w:tc>
          <w:tcPr>
            <w:tcW w:type="dxa" w:w="338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分母或观察范围</w:t>
            </w:r>
          </w:p>
        </w:tc>
        <w:tc>
          <w:tcPr>
            <w:tcW w:type="dxa" w:w="237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频率与责任岗位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K13 控制延迟P95秒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&lt;=3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测量值与样本量</w:t>
              <w:br/>
              <w:t>最小样本 100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</w:t>
              <w:br/>
              <w:t>物联网与语音工程师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K14 联合试点验收数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M4至M6</w:t>
              <w:br/>
              <w:t>战略合作负责人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K15 合作协议责任条款完整率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批准的必需合同条款数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签约前</w:t>
              <w:br/>
              <w:t>加拿大法务与合规顾问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K16 阶段资料完整率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专业顾问确认的适用材料数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月度</w:t>
              <w:br/>
              <w:t>BC PNP持牌移民专业顾问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K17 经营支出可追溯率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适用经营支出笔数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月度</w:t>
              <w:br/>
              <w:t>财务与供应链金融负责人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K18 候选SKU样品评审数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&gt;=5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M2</w:t>
              <w:br/>
              <w:t>采购与供应链负责人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K19 售后首次响应达标率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&gt;=95%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当期进入服务时段的适用工单数</w:t>
              <w:br/>
              <w:t>最小样本 10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</w:t>
              <w:br/>
              <w:t>安装与售后技术负责人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K20 首次修复成功率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&gt;=85%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已完成且进入7日观察的维修工单数</w:t>
              <w:br/>
              <w:t>最小样本 10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月度</w:t>
              <w:br/>
              <w:t>安装与售后技术负责人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K21 到货验收合格率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&gt;=98%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当期实际收货台数</w:t>
              <w:br/>
              <w:t>最小样本 20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每批次</w:t>
              <w:br/>
              <w:t>采购与供应链负责人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K22 融资交易对账一致率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&gt;=100%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试单要求的对账项目数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每节点</w:t>
              <w:br/>
              <w:t>财务与供应链金融负责人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K23 融资付款逾期笔数</w:t>
            </w:r>
          </w:p>
        </w:tc>
        <w:tc>
          <w:tcPr>
            <w:tcW w:type="dxa" w:w="10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&lt;=0</w:t>
            </w:r>
          </w:p>
        </w:tc>
        <w:tc>
          <w:tcPr>
            <w:tcW w:type="dxa" w:w="338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每周</w:t>
              <w:br/>
              <w:t>财务与供应链金融负责人</w:t>
            </w:r>
          </w:p>
        </w:tc>
      </w:tr>
      <w:tr>
        <w:trPr>
          <w:cantSplit/>
        </w:trPr>
        <w:tc>
          <w:tcPr>
            <w:tcW w:type="dxa" w:w="309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K24 融资完整周期验收数</w:t>
            </w:r>
          </w:p>
        </w:tc>
        <w:tc>
          <w:tcPr>
            <w:tcW w:type="dxa" w:w="108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&gt;=1</w:t>
            </w:r>
          </w:p>
        </w:tc>
        <w:tc>
          <w:tcPr>
            <w:tcW w:type="dxa" w:w="338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实际计数及观察覆盖</w:t>
              <w:br/>
              <w:t>最小样本 1</w:t>
            </w:r>
          </w:p>
        </w:tc>
        <w:tc>
          <w:tcPr>
            <w:tcW w:type="dxa" w:w="237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按合同到期</w:t>
              <w:br/>
              <w:t>财务与供应链金融负责人</w:t>
            </w:r>
          </w:p>
        </w:tc>
      </w:tr>
    </w:tbl>
    <w:p/>
    <w:p>
      <w:r>
        <w:rPr>
          <w:rFonts w:eastAsia="Arial Unicode MS"/>
        </w:rPr>
        <w:t>售后首次响应按客户服务时区和工作时段计时。首次修复须7日无同故障重开。融资完整周期必须包含本金、利息与费用清算；合同未到期时仅报告阶段结果。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23 人力容量预算与风险</w:t>
      </w:r>
    </w:p>
    <w:p>
      <w:pPr>
        <w:pStyle w:val="Heading2"/>
      </w:pPr>
      <w:r>
        <w:rPr>
          <w:rFonts w:eastAsia="Arial Unicode MS"/>
        </w:rPr>
        <w:t>容量与招聘</w:t>
      </w:r>
    </w:p>
    <w:p>
      <w:r>
        <w:rPr>
          <w:rFonts w:eastAsia="Arial Unicode MS"/>
        </w:rPr>
        <w:t>每岗位填写每周可用工时、已承诺工时、待排任务和备岗。建议只将80%可用工时承诺给计划任务，保留20%用于客户服务和整改；G1根据实际人员批准。存在关键岗位缺口或超载时，先缩小并行任务范围，再申请外包或招聘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6048"/>
        <w:gridCol w:w="1800"/>
      </w:tblGrid>
      <w:tr>
        <w:trPr>
          <w:cantSplit/>
          <w:tblHeader/>
        </w:trPr>
        <w:tc>
          <w:tcPr>
            <w:tcW w:type="dxa" w:w="208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预算类别</w:t>
            </w:r>
          </w:p>
        </w:tc>
        <w:tc>
          <w:tcPr>
            <w:tcW w:type="dxa" w:w="604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预算依据</w:t>
            </w:r>
          </w:p>
        </w:tc>
        <w:tc>
          <w:tcPr>
            <w:tcW w:type="dxa" w:w="180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负责岗位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公司与专业服务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注册 法务 会计 保险 申报服务合同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CEO FIN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三店工程</w:t>
            </w:r>
          </w:p>
        </w:tc>
        <w:tc>
          <w:tcPr>
            <w:tcW w:type="dxa" w:w="60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各店租金 设计 工程 BOQ 设备 许可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STORE FIN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系统与云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设计 开发 SDK 云服务 测试 运维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TECH FIN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硬件与库存</w:t>
            </w:r>
          </w:p>
        </w:tc>
        <w:tc>
          <w:tcPr>
            <w:tcW w:type="dxa" w:w="60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样品 认证 货款 运费 税费 备件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SCM FIN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人员与服务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工资 外包 培训 差旅 安装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HR FIN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现金和融资</w:t>
            </w:r>
          </w:p>
        </w:tc>
        <w:tc>
          <w:tcPr>
            <w:tcW w:type="dxa" w:w="604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启动资金 融资全成本 应收与最低现金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13周现金流</w:t>
      </w:r>
    </w:p>
    <w:p>
      <w:r>
        <w:rPr>
          <w:rFonts w:eastAsia="Arial Unicode MS"/>
        </w:rPr>
        <w:t>财务每周更新现金期初、确定回款、批准支出、融资可用额度及期末。签约前同时核对承诺支出，不能只核对已支付金额。最低现金红线、应收账龄停止条件和单店开业投入在G1填入；未批准金额保持待确认。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24"/>
        <w:gridCol w:w="5112"/>
        <w:gridCol w:w="1800"/>
      </w:tblGrid>
      <w:tr>
        <w:trPr>
          <w:cantSplit/>
          <w:tblHeader/>
        </w:trPr>
        <w:tc>
          <w:tcPr>
            <w:tcW w:type="dxa" w:w="302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风险与触发</w:t>
            </w:r>
          </w:p>
        </w:tc>
        <w:tc>
          <w:tcPr>
            <w:tcW w:type="dxa" w:w="511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处理</w:t>
            </w:r>
          </w:p>
        </w:tc>
        <w:tc>
          <w:tcPr>
            <w:tcW w:type="dxa" w:w="180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决定岗位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许可或施工落后关键路径5日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重排首店或复制次序 保留原工期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COO CEO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SDK或认证缺失</w:t>
            </w:r>
          </w:p>
        </w:tc>
        <w:tc>
          <w:tcPr>
            <w:tcW w:type="dxa" w:w="51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冻结相关SKU 实测其他合格型号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TECH SCM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Muse条件不满足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保留评估接口 核心手动控制继续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TECH PROD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合作主体或授权不清</w:t>
            </w:r>
          </w:p>
        </w:tc>
        <w:tc>
          <w:tcPr>
            <w:tcW w:type="dxa" w:w="51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停止引用合作主张 暂停签约采购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BD LEGAL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PNP路径不适用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暂停申报依赖 重新判断业务与地区</w:t>
            </w:r>
          </w:p>
        </w:tc>
        <w:tc>
          <w:tcPr>
            <w:tcW w:type="dxa" w:w="180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PNP CEO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现金低于红线或回款争议</w:t>
            </w:r>
          </w:p>
        </w:tc>
        <w:tc>
          <w:tcPr>
            <w:tcW w:type="dxa" w:w="511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冻结新增投入 复核采购和融资</w:t>
            </w:r>
          </w:p>
        </w:tc>
        <w:tc>
          <w:tcPr>
            <w:tcW w:type="dxa" w:w="180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 CEO</w:t>
            </w:r>
          </w:p>
        </w:tc>
      </w:tr>
    </w:tbl>
    <w:p/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24 启动后十四日行动</w:t>
      </w:r>
    </w:p>
    <w:p>
      <w:r>
        <w:rPr>
          <w:rFonts w:eastAsia="Arial Unicode MS"/>
        </w:rPr>
        <w:t>D1为经批准的T0，D14为启动后第14个日历日；专业与供应商交付的工作日须在启动会上落实。先完成已具备条件的调查与设计，缺项记录责任岗位和新期限。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3528"/>
        <w:gridCol w:w="4752"/>
      </w:tblGrid>
      <w:tr>
        <w:trPr>
          <w:cantSplit/>
          <w:tblHeader/>
        </w:trPr>
        <w:tc>
          <w:tcPr>
            <w:tcW w:type="dxa" w:w="165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ID与时段</w:t>
            </w:r>
          </w:p>
        </w:tc>
        <w:tc>
          <w:tcPr>
            <w:tcW w:type="dxa" w:w="352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任务</w:t>
            </w:r>
          </w:p>
        </w:tc>
        <w:tc>
          <w:tcPr>
            <w:tcW w:type="dxa" w:w="47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岗位与证据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D01 D1-D3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批准启动章程及决策清单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总经理</w:t>
              <w:br/>
              <w:t>任务目标和业务范围签字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D02 D1-D3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公司及股权注册方案审查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加拿大法务与合规顾问</w:t>
              <w:br/>
              <w:t>注册路径 法定主体 股权图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D03 D1-D3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建立13周现金流及分线预算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财务与供应链金融负责人</w:t>
              <w:br/>
              <w:t>现金余额 各周支出与最低现金红线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D04 D1-D3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建立岗位任命及备岗清单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运营负责人</w:t>
              <w:br/>
              <w:t>关键责任人和每周工时承诺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D05 D1-D5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三店逐店勘察和许可清单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门店与工程负责人</w:t>
              <w:br/>
              <w:t>S1 S2 S3测量租赁及开工条件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D06 D1-D5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系统代码及真实能力审计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技术负责人</w:t>
              <w:br/>
              <w:t>能力矩阵和原型边界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D07 D3-D7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贝乐及BroadLink授权和SDK资料包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战略合作负责人</w:t>
              <w:br/>
              <w:t>主体 授权 SDK 样品 认证清单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D08 D3-D7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Meta Muse技术及商用适用性评估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物联网与语音工程师</w:t>
              <w:br/>
              <w:t>官方产品链接 可用区域 接口 合同判断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D09 D3-D7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擎洲合作主体及合同范围审查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战略合作负责人</w:t>
              <w:br/>
              <w:t>主体 授权 NDA 条款差异清单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D10 D3-D7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专业顾问提交PNP路径判断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BC PNP持牌移民专业顾问</w:t>
              <w:br/>
              <w:t>资格 业务增值 地区及投入条件</w:t>
            </w:r>
          </w:p>
        </w:tc>
      </w:tr>
    </w:tbl>
    <w:p/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25 启动后十四日交付与待确认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3528"/>
        <w:gridCol w:w="4752"/>
      </w:tblGrid>
      <w:tr>
        <w:trPr>
          <w:cantSplit/>
          <w:tblHeader/>
        </w:trPr>
        <w:tc>
          <w:tcPr>
            <w:tcW w:type="dxa" w:w="165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ID与时段</w:t>
            </w:r>
          </w:p>
        </w:tc>
        <w:tc>
          <w:tcPr>
            <w:tcW w:type="dxa" w:w="352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任务</w:t>
            </w:r>
          </w:p>
        </w:tc>
        <w:tc>
          <w:tcPr>
            <w:tcW w:type="dxa" w:w="4752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岗位与证据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D11 D3-D7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国内服务SOW及十个候选SKU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中国选品与售后接口岗位</w:t>
              <w:br/>
              <w:t>服务范围 质量评分 样品顺序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D12 D5-D10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融资角色与资金方材料准备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财务与供应链金融负责人</w:t>
              <w:br/>
              <w:t>真实贸易图 应收/库存权属 资金方要求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D13 D5-D10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设备型号及加拿大合规核验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采购与供应链负责人</w:t>
              <w:br/>
              <w:t>型号对证书 电压 标签 安装边界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D14 D5-D10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MVP PRD及十条核心流程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产品负责人</w:t>
              <w:br/>
              <w:t>流程 原型 权限 数据和验收用例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D15 D8-D12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首店空间及五场景方案评审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产品与品牌设计师</w:t>
              <w:br/>
              <w:t>面积约束 平面 演示触点与成本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D16 D8-D12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发布合同 采购 付款 验收权限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运营负责人</w:t>
              <w:br/>
              <w:t>权限矩阵及审批替补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D17 D8-D12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定义本地售后与中国支持交接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安装与售后技术负责人</w:t>
              <w:br/>
              <w:t>分级响应时段 RMA 备件 工单演练计划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D18 D10-D14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建立48项里程碑及周会节奏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项目管理负责人</w:t>
              <w:br/>
              <w:t>基线依赖证据 月度门槛与变更日志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D19 D10-D14</w:t>
            </w:r>
          </w:p>
        </w:tc>
        <w:tc>
          <w:tcPr>
            <w:tcW w:type="dxa" w:w="35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提交人力及外包采购申请</w:t>
            </w:r>
          </w:p>
        </w:tc>
        <w:tc>
          <w:tcPr>
            <w:tcW w:type="dxa" w:w="475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人事与行政岗位</w:t>
              <w:br/>
              <w:t>岗位容量 合同 培训及访问清单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D20 D14</w:t>
            </w:r>
          </w:p>
        </w:tc>
        <w:tc>
          <w:tcPr>
            <w:tcW w:type="dxa" w:w="352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举行启动验收及阻塞决策会</w:t>
            </w:r>
          </w:p>
        </w:tc>
        <w:tc>
          <w:tcPr>
            <w:tcW w:type="dxa" w:w="4752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总经理</w:t>
              <w:br/>
              <w:t>G0会议纪要 未确认项有责任和新期限</w:t>
            </w:r>
          </w:p>
        </w:tc>
      </w:tr>
    </w:tbl>
    <w:p/>
    <w:p>
      <w:r>
        <w:rPr>
          <w:rFonts w:eastAsia="Arial Unicode MS"/>
        </w:rPr>
        <w:t>D14会议完成G0启动检查，批准M1工作范围。Q01至Q12分别对应启动预算、主体、三店、系统、贝乐、Muse、擎洲、PNP、国内服务、融资、产品合规、实际人员；执行台账保留独立答案栏和关闭证据。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26 标准表单与验收记录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264"/>
        <w:gridCol w:w="1368"/>
      </w:tblGrid>
      <w:tr>
        <w:trPr>
          <w:cantSplit/>
          <w:tblHeader/>
        </w:trPr>
        <w:tc>
          <w:tcPr>
            <w:tcW w:type="dxa" w:w="230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表单</w:t>
            </w:r>
          </w:p>
        </w:tc>
        <w:tc>
          <w:tcPr>
            <w:tcW w:type="dxa" w:w="626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必填字段</w:t>
            </w:r>
          </w:p>
        </w:tc>
        <w:tc>
          <w:tcPr>
            <w:tcW w:type="dxa" w:w="1368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保管岗位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F01 项目章程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目标 范围 预算 里程碑 依赖 R A KPI 风险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PMO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F02 岗位任命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岗位 姓名 工时 合同 权限 备岗 生效日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HR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F03 阶段验收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里程碑 版本 样本 结果 证据 缺陷 验收人 日期 决定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QA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F04 变更申请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CR 原基线 原因 成本 日期 依赖影响 批准与新版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PMO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F05 SKU放行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型号 固件 认证 电压 样品 成本 质保 SDK 结论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SCM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F06 开业检查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许可 工程 设备 演示 CRM 人员 售后 缺陷 签字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STORE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F07 安装交付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客户 订单 场地 设备ID 安装 验收 权限 培训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INSTALL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F08 售后与RMA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工单 级别 时区 首次响应 根因 备件 复测 观察 费用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INSTALL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F09 合作义务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合同 主体 授权 地域 条款 期限 R 证据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BD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F10 PNP资料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路径 适用材料 来源 归属 专业审核 回执 版本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PNP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F11 融资对账</w:t>
            </w:r>
          </w:p>
        </w:tc>
        <w:tc>
          <w:tcPr>
            <w:tcW w:type="dxa" w:w="626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融资ID PO 物流 验收 应收 银行 费用 到期 风险</w:t>
            </w:r>
          </w:p>
        </w:tc>
        <w:tc>
          <w:tcPr>
            <w:tcW w:type="dxa" w:w="136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FIN</w:t>
            </w:r>
          </w:p>
        </w:tc>
      </w:tr>
      <w:tr>
        <w:trPr>
          <w:cantSplit/>
        </w:trPr>
        <w:tc>
          <w:tcPr>
            <w:tcW w:type="dxa" w:w="230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F12 周报与风险</w:t>
            </w:r>
          </w:p>
        </w:tc>
        <w:tc>
          <w:tcPr>
            <w:tcW w:type="dxa" w:w="626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本周 下周 KPI 阻塞 决策申请 责任 期限</w:t>
            </w:r>
          </w:p>
        </w:tc>
        <w:tc>
          <w:tcPr>
            <w:tcW w:type="dxa" w:w="1368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PMO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证据归档</w:t>
      </w:r>
    </w:p>
    <w:p>
      <w:r>
        <w:rPr>
          <w:rFonts w:eastAsia="Arial Unicode MS"/>
        </w:rPr>
        <w:t>目录按工作包/里程碑/版本管理，例如 W3/W3-M2/v1。每份文件记录资料来源、日期、版本及访问范围。客户资料和财务资料不得放入公开路线图；路线图只显示验收要求，敏感附件存权限受控位置。</w:t>
      </w:r>
    </w:p>
    <w:p>
      <w:pPr>
        <w:pStyle w:val="Heading2"/>
      </w:pPr>
      <w:r>
        <w:rPr>
          <w:rFonts w:eastAsia="Arial Unicode MS"/>
        </w:rPr>
        <w:t>验收判定</w:t>
      </w:r>
    </w:p>
    <w:p>
      <w:r>
        <w:rPr>
          <w:rFonts w:eastAsia="Arial Unicode MS"/>
        </w:rPr>
        <w:t>未开始 → 进行中 → 待验收 → 已验收。阻塞与需返工单独记录。台账中只有提交证据、填写验收人、通过复核并确认前置条件解除的任务才能显示已验收。KPI达标不能自动代替业务关口签字。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27 Codex实施交接与下一轮任务</w:t>
      </w:r>
    </w:p>
    <w:p>
      <w:r>
        <w:rPr>
          <w:rFonts w:eastAsia="Arial Unicode MS"/>
        </w:rPr>
        <w:t>Codex负责把批准的流程转为设计、需求、工作包和可验证实现。每轮先读取本手册、execution-data.json、执行台账以及目标仓库的AGENTS约定，再选择具备输入条件的任务。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56"/>
        <w:gridCol w:w="5040"/>
        <w:gridCol w:w="3240"/>
      </w:tblGrid>
      <w:tr>
        <w:trPr>
          <w:cantSplit/>
          <w:tblHeader/>
        </w:trPr>
        <w:tc>
          <w:tcPr>
            <w:tcW w:type="dxa" w:w="165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工作包</w:t>
            </w:r>
          </w:p>
        </w:tc>
        <w:tc>
          <w:tcPr>
            <w:tcW w:type="dxa" w:w="504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具体产物</w:t>
            </w:r>
          </w:p>
        </w:tc>
        <w:tc>
          <w:tcPr>
            <w:tcW w:type="dxa" w:w="324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验收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C01 公司运营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章程/岗位/授权/合同台账模板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关键职责唯一归属 缺项可追踪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C02 三店工程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逐店需求 设计与BOQ字段 五场景脚本</w:t>
            </w:r>
          </w:p>
        </w:tc>
        <w:tc>
          <w:tcPr>
            <w:tcW w:type="dxa" w:w="32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逐店许可 成本 演示和客户触点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C03 产品与系统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PRD 信息架构 原型 角色矩阵 数据契约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十条核心流程可点击 可写入UAT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C04 硬件集成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SDK适配设计 型号能力表 实物测试计划</w:t>
            </w:r>
          </w:p>
        </w:tc>
        <w:tc>
          <w:tcPr>
            <w:tcW w:type="dxa" w:w="32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命令与状态分离 100次实物验证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C05 语音AI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Muse适用性结论 意图工具与失败路径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权限 危险动作 含糊意图 中英文测试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C06 合作协议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主体尽调与合同条款差异表</w:t>
            </w:r>
          </w:p>
        </w:tc>
        <w:tc>
          <w:tcPr>
            <w:tcW w:type="dxa" w:w="32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供货 技术 质保 结算与IP可审查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C07 PNP材料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专业顾问材料索引 经营证据台账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路径适用性由专业岗位确认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C08 选品售后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SKU评审 安装 工单 RMA 库存流程</w:t>
            </w:r>
          </w:p>
        </w:tc>
        <w:tc>
          <w:tcPr>
            <w:tcW w:type="dxa" w:w="32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客户到国内支持闭环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C09 融资落地</w:t>
            </w:r>
          </w:p>
        </w:tc>
        <w:tc>
          <w:tcPr>
            <w:tcW w:type="dxa" w:w="50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交易图 材料 对账与全成本表</w:t>
            </w:r>
          </w:p>
        </w:tc>
        <w:tc>
          <w:tcPr>
            <w:tcW w:type="dxa" w:w="3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真实贸易 授信/权属条件</w:t>
            </w:r>
          </w:p>
        </w:tc>
      </w:tr>
      <w:tr>
        <w:trPr>
          <w:cantSplit/>
        </w:trPr>
        <w:tc>
          <w:tcPr>
            <w:tcW w:type="dxa" w:w="165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C10 执行平台</w:t>
            </w:r>
          </w:p>
        </w:tc>
        <w:tc>
          <w:tcPr>
            <w:tcW w:type="dxa" w:w="50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任务 KPI 岗位 证据 风险运营后台</w:t>
            </w:r>
          </w:p>
        </w:tc>
        <w:tc>
          <w:tcPr>
            <w:tcW w:type="dxa" w:w="32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持久化 权限 审计 验收条件正确</w:t>
            </w:r>
          </w:p>
        </w:tc>
      </w:tr>
    </w:tbl>
    <w:p/>
    <w:p>
      <w:pPr>
        <w:pStyle w:val="Heading2"/>
      </w:pPr>
      <w:r>
        <w:rPr>
          <w:rFonts w:eastAsia="Arial Unicode MS"/>
        </w:rPr>
        <w:t>可复制的启动指令</w:t>
      </w:r>
    </w:p>
    <w:p>
      <w:r>
        <w:rPr>
          <w:rFonts w:eastAsia="Arial Unicode MS"/>
        </w:rPr>
        <w:t>请读取 NEXA WOC 运营手册、execution-data.json 和执行台账，先完成C01、C03及C10的方案与模板。保持NEXA原有视觉体系。所有未知事实标为待确认，人员仅按岗位。每项产物包含输入、负责岗位、依赖、验收条件及证据。先盘点现有工程，复用已完成模块；真实硬件、付款和外部申报按各自条件验证。</w:t>
      </w:r>
    </w:p>
    <w:p>
      <w:r>
        <w:rPr>
          <w:rFonts w:eastAsia="Arial Unicode MS"/>
        </w:rPr>
        <w:t>完整任务说明、数据字段、测试计划及表单模板见配套Codex实施任务书。需要外部接口或专业判断的任务先交付缺项清单和评审材料，再进入依赖这些条件的实现。</w:t>
      </w:r>
    </w:p>
    <w:p>
      <w:r>
        <w:rPr>
          <w:rFonts w:eastAsia="Arial Unicode MS"/>
        </w:rPr>
        <w:br w:type="page"/>
      </w:r>
    </w:p>
    <w:p>
      <w:pPr>
        <w:pStyle w:val="Heading1"/>
      </w:pPr>
      <w:r>
        <w:rPr>
          <w:rFonts w:eastAsia="Arial Unicode MS"/>
        </w:rPr>
        <w:t>28 资料来源与版本记录</w:t>
      </w:r>
    </w:p>
    <w:p>
      <w:r>
        <w:rPr>
          <w:rFonts w:eastAsia="Arial Unicode MS"/>
        </w:rPr>
        <w:t>本册引用资料用于业务范围、结构参考及当前条件核验。附件中的第三方内部规定不构成NEXA执行授权。产品与法规资料应在采购、签约和申报前复核最新版本。</w:t>
      </w:r>
    </w:p>
    <w:p>
      <w:pPr>
        <w:pStyle w:val="Heading2"/>
      </w:pPr>
      <w:r>
        <w:rPr>
          <w:rFonts w:eastAsia="Arial Unicode MS"/>
        </w:rPr>
        <w:t>S01 用户业务需求及九张图片</w:t>
      </w:r>
    </w:p>
    <w:p>
      <w:r>
        <w:rPr>
          <w:rFonts w:eastAsia="Arial Unicode MS"/>
        </w:rPr>
        <w:t>2026-10-05对话</w:t>
        <w:br/>
        <w:t>七条业务线和岗位先于姓名；NEXA视觉权威；图片为概念参考。</w:t>
      </w:r>
    </w:p>
    <w:p>
      <w:pPr>
        <w:pStyle w:val="Heading2"/>
      </w:pPr>
      <w:r>
        <w:rPr>
          <w:rFonts w:eastAsia="Arial Unicode MS"/>
        </w:rPr>
        <w:t>S02 WPC SOP FINAL v1.0.doc</w:t>
      </w:r>
    </w:p>
    <w:p>
      <w:r>
        <w:rPr>
          <w:rFonts w:eastAsia="Arial Unicode MS"/>
        </w:rPr>
        <w:t>附件 2008-10-20</w:t>
        <w:br/>
        <w:t>参考第3至7、11至14、19至24节结构；旧组织、阈值和第三方内部规定未沿用。</w:t>
      </w:r>
    </w:p>
    <w:p>
      <w:pPr>
        <w:pStyle w:val="Heading2"/>
      </w:pPr>
      <w:r>
        <w:rPr>
          <w:rFonts w:eastAsia="Arial Unicode MS"/>
        </w:rPr>
        <w:t>S03 BroadLink BLE catalogue 2026V2.1.pdf</w:t>
      </w:r>
    </w:p>
    <w:p>
      <w:r>
        <w:rPr>
          <w:rFonts w:eastAsia="Arial Unicode MS"/>
        </w:rPr>
        <w:t>附件 p10至12 p22</w:t>
        <w:br/>
        <w:t>厂家目录声明；具体SKU、认证、SDK与NEXA接入需另核验。</w:t>
      </w:r>
    </w:p>
    <w:p>
      <w:pPr>
        <w:pStyle w:val="Heading2"/>
      </w:pPr>
      <w:r>
        <w:rPr>
          <w:rFonts w:eastAsia="Arial Unicode MS"/>
        </w:rPr>
        <w:t>S04 NEXA官网</w:t>
      </w:r>
    </w:p>
    <w:p>
      <w:r>
        <w:rPr>
          <w:rFonts w:eastAsia="Arial Unicode MS"/>
        </w:rPr>
        <w:t>https://nexa-energy-cloud.vercel.app/</w:t>
        <w:br/>
        <w:t>2026-10-05读取成功；站点标注概念与演示，未证明生产能力。</w:t>
      </w:r>
    </w:p>
    <w:p>
      <w:pPr>
        <w:pStyle w:val="Heading2"/>
      </w:pPr>
      <w:r>
        <w:rPr>
          <w:rFonts w:eastAsia="Arial Unicode MS"/>
        </w:rPr>
        <w:t>S05 当前代码与开发文档</w:t>
      </w:r>
    </w:p>
    <w:p>
      <w:r>
        <w:rPr>
          <w:rFonts w:eastAsia="Arial Unicode MS"/>
        </w:rPr>
        <w:t>server/app.mjs 第65至104行；docs/development/</w:t>
        <w:br/>
        <w:t>2026-10-05核对；当前仅simulator/disabled，realHardware和payments为false。</w:t>
      </w:r>
    </w:p>
    <w:p>
      <w:pPr>
        <w:pStyle w:val="Heading2"/>
      </w:pPr>
      <w:r>
        <w:rPr>
          <w:rFonts w:eastAsia="Arial Unicode MS"/>
        </w:rPr>
        <w:t>S06 WelcomeBC企业家路径</w:t>
      </w:r>
    </w:p>
    <w:p>
      <w:r>
        <w:rPr>
          <w:rFonts w:eastAsia="Arial Unicode MS"/>
        </w:rPr>
        <w:t>https://www.welcomebc.ca/immigrate-to-b-c/for-entrepreneurs-and-businesses</w:t>
        <w:br/>
        <w:t>2026-10-05查阅；Base Regional Strategic Projects条件及主动经营流程。</w:t>
      </w:r>
    </w:p>
    <w:p>
      <w:pPr>
        <w:pStyle w:val="Heading2"/>
      </w:pPr>
      <w:r>
        <w:rPr>
          <w:rFonts w:eastAsia="Arial Unicode MS"/>
        </w:rPr>
        <w:t>S07 Meta Muse官方产品说明</w:t>
      </w:r>
    </w:p>
    <w:p>
      <w:r>
        <w:rPr>
          <w:rFonts w:eastAsia="Arial Unicode MS"/>
        </w:rPr>
        <w:t>https://about.fb.com/news/2026/09/introducing-muse-personal-ai-agent/</w:t>
        <w:br/>
        <w:t>2026-10-05查阅；官方产品存在；加拿大与家居控制接口、许可尚未核验。</w:t>
      </w:r>
    </w:p>
    <w:p>
      <w:pPr>
        <w:pStyle w:val="Heading2"/>
      </w:pPr>
      <w:r>
        <w:rPr>
          <w:rFonts w:eastAsia="Arial Unicode MS"/>
        </w:rPr>
        <w:t>S08 Canada公司注册路径</w:t>
      </w:r>
    </w:p>
    <w:p>
      <w:r>
        <w:rPr>
          <w:rFonts w:eastAsia="Arial Unicode MS"/>
        </w:rPr>
        <w:t>https://www.canada.ca/en/services/business/start/register-with-gov/register-corp/register-corp-fed-or-prov.html</w:t>
        <w:br/>
        <w:t>2026-10-05查阅；联邦与省注册选择须按经营地域判断。</w:t>
      </w:r>
    </w:p>
    <w:p>
      <w:pPr>
        <w:pStyle w:val="Heading2"/>
      </w:pPr>
      <w:r>
        <w:rPr>
          <w:rFonts w:eastAsia="Arial Unicode MS"/>
        </w:rPr>
        <w:t>S09 ISED无线认证</w:t>
      </w:r>
    </w:p>
    <w:p>
      <w:r>
        <w:rPr>
          <w:rFonts w:eastAsia="Arial Unicode MS"/>
        </w:rPr>
        <w:t>https://ised-isde.canada.ca/site/spectrum-management-telecommunications/en/licences-and-certificates/radio-authorizations/wireless-equipment-certification</w:t>
        <w:br/>
        <w:t>2026-10-05查阅；核对适用认证及REL精确型号。</w:t>
      </w:r>
    </w:p>
    <w:p>
      <w:pPr>
        <w:pStyle w:val="Heading2"/>
      </w:pPr>
      <w:r>
        <w:rPr>
          <w:rFonts w:eastAsia="Arial Unicode MS"/>
        </w:rPr>
        <w:t>S10 BC电气规范</w:t>
      </w:r>
    </w:p>
    <w:p>
      <w:r>
        <w:rPr>
          <w:rFonts w:eastAsia="Arial Unicode MS"/>
        </w:rPr>
        <w:t>https://www2.gov.bc.ca/gov/content/industry/construction-industry/building-codes-standards/bc-codes/electrical-code</w:t>
        <w:br/>
        <w:t>2026-10-05查阅；具体项目由当地合格专业人员判断。</w:t>
      </w:r>
    </w:p>
    <w:p>
      <w:pPr>
        <w:pStyle w:val="Heading2"/>
      </w:pPr>
      <w:r>
        <w:rPr>
          <w:rFonts w:eastAsia="Arial Unicode MS"/>
        </w:rPr>
        <w:t>S11 BC担保登记</w:t>
      </w:r>
    </w:p>
    <w:p>
      <w:r>
        <w:rPr>
          <w:rFonts w:eastAsia="Arial Unicode MS"/>
        </w:rPr>
        <w:t>https://www2.gov.bc.ca/gov/content/employment-business/business/managing-a-business/bc-registry-services-personal-property-registry</w:t>
        <w:br/>
        <w:t>2026-10-05查阅；担保及优先权由法务和资金方核验。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1440"/>
        <w:gridCol w:w="6336"/>
        <w:gridCol w:w="1224"/>
      </w:tblGrid>
      <w:tr>
        <w:trPr>
          <w:cantSplit/>
          <w:tblHeader/>
        </w:trPr>
        <w:tc>
          <w:tcPr>
            <w:tcW w:type="dxa" w:w="9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版本</w:t>
            </w:r>
          </w:p>
        </w:tc>
        <w:tc>
          <w:tcPr>
            <w:tcW w:type="dxa" w:w="1440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6336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修订内容</w:t>
            </w:r>
          </w:p>
        </w:tc>
        <w:tc>
          <w:tcPr>
            <w:tcW w:type="dxa" w:w="1224"/>
            <w:vAlign w:val="center"/>
            <w:shd w:fill="0B1F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/>
                <w:color w:val="FFFFFF"/>
                <w:sz w:val="18"/>
              </w:rPr>
              <w:t>批准</w:t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1.0</w:t>
            </w:r>
          </w:p>
        </w:tc>
        <w:tc>
          <w:tcPr>
            <w:tcW w:type="dxa" w:w="14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2026-10-05</w:t>
            </w:r>
          </w:p>
        </w:tc>
        <w:tc>
          <w:tcPr>
            <w:tcW w:type="dxa" w:w="63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建立七线计划 岗位 SOP KPI与验证</w:t>
            </w:r>
          </w:p>
        </w:tc>
        <w:tc>
          <w:tcPr>
            <w:tcW w:type="dxa" w:w="1224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待填写</w:t>
            </w:r>
          </w:p>
        </w:tc>
      </w:tr>
      <w:tr>
        <w:trPr>
          <w:cantSplit/>
        </w:trPr>
        <w:tc>
          <w:tcPr>
            <w:tcW w:type="dxa" w:w="9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1.1</w:t>
            </w:r>
          </w:p>
        </w:tc>
        <w:tc>
          <w:tcPr>
            <w:tcW w:type="dxa" w:w="1440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待填写</w:t>
            </w:r>
          </w:p>
        </w:tc>
        <w:tc>
          <w:tcPr>
            <w:tcW w:type="dxa" w:w="6336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根据首店和试点修订 保留差异</w:t>
            </w:r>
          </w:p>
        </w:tc>
        <w:tc>
          <w:tcPr>
            <w:tcW w:type="dxa" w:w="1224"/>
            <w:vAlign w:val="center"/>
            <w:shd w:fill="F2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bottom w:w="70" w:type="dxa"/>
            </w:tcMar>
          </w:tcPr>
          <w:p>
            <w:pPr>
              <w:spacing w:after="40" w:before="40" w:line="250" w:lineRule="auto"/>
            </w:pPr>
            <w:r>
              <w:rPr>
                <w:rFonts w:eastAsia="Arial Unicode MS"/>
                <w:b w:val="0"/>
                <w:color w:val="111827"/>
                <w:sz w:val="18"/>
              </w:rPr>
              <w:t>待填写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9" w:h="16834"/>
      <w:pgMar w:top="1008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eastAsia="Arial Unicode MS"/>
        <w:sz w:val="16"/>
      </w:rPr>
      <w:t xml:space="preserve">NEXA 六个月执行手册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eastAsia="Arial Unicode MS"/>
        <w:sz w:val="16"/>
      </w:rPr>
      <w:t>NEXA ENERGY CLOUD    WOC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 Unicode M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60"/>
      <w:outlineLvl w:val="0"/>
    </w:pPr>
    <w:rPr>
      <w:rFonts w:ascii="Arial" w:hAnsi="Arial" w:eastAsia="Arial Unicode M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</w:pPr>
    <w:rPr>
      <w:rFonts w:ascii="Arial" w:hAnsi="Arial" w:eastAsia="Arial Unicode M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60"/>
      <w:outlineLvl w:val="2"/>
    </w:pPr>
    <w:rPr>
      <w:rFonts w:ascii="Arial" w:hAnsi="Arial" w:eastAsia="Arial Unicode M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 Unicode MS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 Unicode MS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NEXA 六个月执行计划与WOC运营手册</dc:title>
  <dc:subject>公司组织 七条业务线 标准流程 KPI 验证与Codex交接</dc:subject>
  <dc:creator>NEXA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